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F6702" w14:textId="2F72CDA0" w:rsidR="00070D2C" w:rsidRPr="000A64D8" w:rsidRDefault="001E761F" w:rsidP="00070D2C">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#90</w:t>
      </w:r>
      <w:r w:rsidR="00070D2C" w:rsidRPr="000A64D8">
        <w:rPr>
          <w:rFonts w:ascii="Arial" w:hAnsi="Arial" w:cs="Arial"/>
          <w:b/>
          <w:sz w:val="24"/>
          <w:szCs w:val="24"/>
        </w:rPr>
        <w:t xml:space="preserve"> </w:t>
      </w:r>
      <w:r w:rsidR="00070D2C" w:rsidRPr="000A64D8">
        <w:rPr>
          <w:rFonts w:ascii="Arial" w:hAnsi="Arial" w:cs="Arial"/>
          <w:b/>
          <w:sz w:val="24"/>
          <w:szCs w:val="24"/>
        </w:rPr>
        <w:tab/>
      </w:r>
      <w:r w:rsidR="00070D2C" w:rsidRPr="004C5B1B">
        <w:rPr>
          <w:rFonts w:ascii="Arial" w:hAnsi="Arial" w:cs="Arial"/>
          <w:b/>
          <w:sz w:val="24"/>
          <w:szCs w:val="24"/>
        </w:rPr>
        <w:t>R1-1</w:t>
      </w:r>
      <w:r w:rsidR="00070D2C">
        <w:rPr>
          <w:rFonts w:ascii="Arial" w:hAnsi="Arial" w:cs="Arial"/>
          <w:b/>
          <w:sz w:val="24"/>
          <w:szCs w:val="24"/>
        </w:rPr>
        <w:t>7</w:t>
      </w:r>
      <w:r w:rsidR="000F6B21">
        <w:rPr>
          <w:rFonts w:ascii="Arial" w:hAnsi="Arial" w:cs="Arial"/>
          <w:b/>
          <w:sz w:val="24"/>
          <w:szCs w:val="24"/>
        </w:rPr>
        <w:t>13398</w:t>
      </w:r>
    </w:p>
    <w:p w14:paraId="416657F8" w14:textId="77777777" w:rsidR="001E761F" w:rsidRPr="00FD021C" w:rsidRDefault="001E761F" w:rsidP="001E761F">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186546CD" w14:textId="0E499B7D" w:rsidR="00070D2C" w:rsidRPr="000A64D8" w:rsidRDefault="001E761F" w:rsidP="001E761F">
      <w:pPr>
        <w:spacing w:after="0"/>
        <w:jc w:val="both"/>
        <w:rPr>
          <w:rFonts w:ascii="Arial" w:hAnsi="Arial" w:cs="Arial"/>
          <w:b/>
          <w:sz w:val="24"/>
          <w:szCs w:val="24"/>
        </w:rPr>
      </w:pPr>
      <w:r>
        <w:rPr>
          <w:rFonts w:ascii="Arial" w:hAnsi="Arial" w:cs="Arial"/>
          <w:b/>
          <w:sz w:val="24"/>
          <w:szCs w:val="24"/>
        </w:rPr>
        <w:t>Prague, Czech</w:t>
      </w:r>
    </w:p>
    <w:p w14:paraId="0059E019" w14:textId="77777777" w:rsidR="00070D2C" w:rsidRPr="000A64D8" w:rsidRDefault="00070D2C" w:rsidP="00070D2C">
      <w:pPr>
        <w:pStyle w:val="Footer"/>
        <w:jc w:val="both"/>
        <w:rPr>
          <w:noProof w:val="0"/>
        </w:rPr>
      </w:pPr>
    </w:p>
    <w:p w14:paraId="12F6C659" w14:textId="11E78B53" w:rsidR="00070D2C" w:rsidRPr="000A64D8" w:rsidRDefault="00070D2C" w:rsidP="00070D2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E761F">
        <w:rPr>
          <w:rFonts w:ascii="Arial" w:hAnsi="Arial"/>
          <w:sz w:val="24"/>
        </w:rPr>
        <w:t>6.1.2.2.3</w:t>
      </w:r>
    </w:p>
    <w:p w14:paraId="2023FEB4" w14:textId="77777777" w:rsidR="00070D2C" w:rsidRPr="000A64D8" w:rsidRDefault="00070D2C" w:rsidP="00070D2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EF1458" w14:textId="4F5DFD5E" w:rsidR="00070D2C" w:rsidRPr="00AD219B" w:rsidRDefault="00070D2C" w:rsidP="00070D2C">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D219B">
        <w:rPr>
          <w:rFonts w:ascii="Arial" w:hAnsi="Arial"/>
          <w:sz w:val="24"/>
        </w:rPr>
        <w:t xml:space="preserve">On CSI </w:t>
      </w:r>
      <w:r w:rsidR="00EE44FB">
        <w:rPr>
          <w:rFonts w:ascii="Arial" w:hAnsi="Arial"/>
          <w:sz w:val="24"/>
        </w:rPr>
        <w:t>F</w:t>
      </w:r>
      <w:r w:rsidRPr="00AD219B">
        <w:rPr>
          <w:rFonts w:ascii="Arial" w:hAnsi="Arial"/>
          <w:sz w:val="24"/>
        </w:rPr>
        <w:t xml:space="preserve">eedback </w:t>
      </w:r>
      <w:r w:rsidR="00BE5F52" w:rsidRPr="00AD219B">
        <w:rPr>
          <w:rFonts w:ascii="Arial" w:hAnsi="Arial"/>
          <w:sz w:val="24"/>
        </w:rPr>
        <w:t xml:space="preserve">for </w:t>
      </w:r>
      <w:r w:rsidR="00EE44FB">
        <w:rPr>
          <w:rFonts w:ascii="Arial" w:hAnsi="Arial"/>
          <w:sz w:val="24"/>
        </w:rPr>
        <w:t>O</w:t>
      </w:r>
      <w:r w:rsidR="00BE5F52" w:rsidRPr="00AD219B">
        <w:rPr>
          <w:rFonts w:ascii="Arial" w:hAnsi="Arial"/>
          <w:sz w:val="24"/>
        </w:rPr>
        <w:t xml:space="preserve">pen- or </w:t>
      </w:r>
      <w:r w:rsidR="00EE44FB">
        <w:rPr>
          <w:rFonts w:ascii="Arial" w:hAnsi="Arial"/>
          <w:sz w:val="24"/>
        </w:rPr>
        <w:t>S</w:t>
      </w:r>
      <w:r w:rsidR="00BE5F52" w:rsidRPr="00AD219B">
        <w:rPr>
          <w:rFonts w:ascii="Arial" w:hAnsi="Arial"/>
          <w:sz w:val="24"/>
        </w:rPr>
        <w:t>emi-</w:t>
      </w:r>
      <w:r w:rsidR="00681D39">
        <w:rPr>
          <w:rFonts w:ascii="Arial" w:hAnsi="Arial"/>
          <w:sz w:val="24"/>
        </w:rPr>
        <w:t>O</w:t>
      </w:r>
      <w:r w:rsidR="00BE5F52" w:rsidRPr="00AD219B">
        <w:rPr>
          <w:rFonts w:ascii="Arial" w:hAnsi="Arial"/>
          <w:sz w:val="24"/>
        </w:rPr>
        <w:t>pen-</w:t>
      </w:r>
      <w:r w:rsidR="00681D39">
        <w:rPr>
          <w:rFonts w:ascii="Arial" w:hAnsi="Arial"/>
          <w:sz w:val="24"/>
        </w:rPr>
        <w:t>L</w:t>
      </w:r>
      <w:r w:rsidR="00BE5F52" w:rsidRPr="00AD219B">
        <w:rPr>
          <w:rFonts w:ascii="Arial" w:hAnsi="Arial"/>
          <w:sz w:val="24"/>
        </w:rPr>
        <w:t xml:space="preserve">oop </w:t>
      </w:r>
      <w:r w:rsidR="00EE44FB">
        <w:rPr>
          <w:rFonts w:ascii="Arial" w:hAnsi="Arial"/>
          <w:sz w:val="24"/>
        </w:rPr>
        <w:t>T</w:t>
      </w:r>
      <w:r w:rsidR="00BE5F52" w:rsidRPr="00AD219B">
        <w:rPr>
          <w:rFonts w:ascii="Arial" w:hAnsi="Arial"/>
          <w:sz w:val="24"/>
        </w:rPr>
        <w:t>ransmission</w:t>
      </w:r>
    </w:p>
    <w:p w14:paraId="31EC2E90" w14:textId="77777777" w:rsidR="00070D2C" w:rsidRDefault="00070D2C" w:rsidP="00070D2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4CC325CD" w14:textId="77777777" w:rsidR="00070D2C" w:rsidRPr="00183CB7" w:rsidRDefault="00070D2C" w:rsidP="00070D2C">
      <w:pPr>
        <w:pStyle w:val="Heading1"/>
      </w:pPr>
      <w:r w:rsidRPr="00183CB7">
        <w:t>Introduction</w:t>
      </w:r>
    </w:p>
    <w:p w14:paraId="758DFAFE" w14:textId="77777777" w:rsidR="00070D2C" w:rsidRDefault="00070D2C" w:rsidP="003D6D66">
      <w:pPr>
        <w:spacing w:before="120" w:after="120"/>
        <w:jc w:val="both"/>
        <w:rPr>
          <w:szCs w:val="22"/>
        </w:rPr>
      </w:pPr>
      <w:r w:rsidRPr="0034718C">
        <w:rPr>
          <w:szCs w:val="22"/>
        </w:rPr>
        <w:t>In RAN</w:t>
      </w:r>
      <w:r>
        <w:rPr>
          <w:szCs w:val="22"/>
        </w:rPr>
        <w:t xml:space="preserve">1 #89, the agreement on DL semi-OL/OL scheme was as follows [1]. </w:t>
      </w:r>
    </w:p>
    <w:p w14:paraId="62E2D416" w14:textId="77777777" w:rsidR="00070D2C" w:rsidRPr="00103C34" w:rsidRDefault="00070D2C" w:rsidP="003D6D66">
      <w:pPr>
        <w:numPr>
          <w:ilvl w:val="0"/>
          <w:numId w:val="28"/>
        </w:numPr>
        <w:overflowPunct/>
        <w:autoSpaceDE/>
        <w:autoSpaceDN/>
        <w:adjustRightInd/>
        <w:spacing w:after="0"/>
        <w:jc w:val="both"/>
        <w:textAlignment w:val="auto"/>
        <w:rPr>
          <w:rFonts w:eastAsia="MS Mincho"/>
          <w:i/>
          <w:iCs/>
          <w:lang w:eastAsia="ja-JP"/>
        </w:rPr>
      </w:pPr>
      <w:r w:rsidRPr="00103C34">
        <w:rPr>
          <w:rFonts w:eastAsia="MS Mincho"/>
          <w:i/>
          <w:iCs/>
          <w:lang w:eastAsia="ja-JP"/>
        </w:rPr>
        <w:t xml:space="preserve">For NR in Rel-15, DL transmission scheme 2 is not explicitly supported for unicast PDSCH in specification </w:t>
      </w:r>
    </w:p>
    <w:p w14:paraId="32EF4CE6" w14:textId="77777777" w:rsidR="00070D2C" w:rsidRPr="003D6D66" w:rsidRDefault="00070D2C" w:rsidP="003D6D66">
      <w:pPr>
        <w:numPr>
          <w:ilvl w:val="1"/>
          <w:numId w:val="28"/>
        </w:numPr>
        <w:overflowPunct/>
        <w:autoSpaceDE/>
        <w:autoSpaceDN/>
        <w:adjustRightInd/>
        <w:spacing w:after="0"/>
        <w:jc w:val="both"/>
        <w:textAlignment w:val="auto"/>
        <w:rPr>
          <w:rFonts w:eastAsia="MS Mincho"/>
          <w:i/>
          <w:iCs/>
          <w:lang w:eastAsia="ja-JP"/>
        </w:rPr>
      </w:pPr>
      <w:r w:rsidRPr="003D6D66">
        <w:rPr>
          <w:rFonts w:eastAsia="MS Mincho"/>
          <w:i/>
          <w:iCs/>
          <w:lang w:eastAsia="ja-JP"/>
        </w:rPr>
        <w:t>Note: CSI feedback assuming open-loop/semi-open-loop and/or closed-loop transmissions is to be discussed separately</w:t>
      </w:r>
    </w:p>
    <w:p w14:paraId="2165E587" w14:textId="5A8BBCE9" w:rsidR="00070D2C" w:rsidRPr="00D33FCE" w:rsidRDefault="00070D2C" w:rsidP="003D6D66">
      <w:pPr>
        <w:spacing w:before="120" w:after="120"/>
        <w:jc w:val="both"/>
        <w:rPr>
          <w:rFonts w:eastAsia="MS Mincho"/>
          <w:i/>
          <w:lang w:eastAsia="ja-JP"/>
        </w:rPr>
      </w:pPr>
      <w:r>
        <w:rPr>
          <w:szCs w:val="22"/>
        </w:rPr>
        <w:t xml:space="preserve">In this document, we discuss </w:t>
      </w:r>
      <w:r w:rsidR="008E4892">
        <w:rPr>
          <w:szCs w:val="22"/>
        </w:rPr>
        <w:t>various CSI feedback schemes applied for TS2</w:t>
      </w:r>
      <w:r>
        <w:rPr>
          <w:szCs w:val="22"/>
        </w:rPr>
        <w:t>.</w:t>
      </w:r>
    </w:p>
    <w:p w14:paraId="5D233AF1" w14:textId="2EFC7823" w:rsidR="00070D2C" w:rsidRDefault="00070D2C" w:rsidP="00070D2C">
      <w:pPr>
        <w:pStyle w:val="Heading1"/>
      </w:pPr>
      <w:r>
        <w:t>Discussion</w:t>
      </w:r>
    </w:p>
    <w:p w14:paraId="298B37C8" w14:textId="77777777" w:rsidR="00882FB0" w:rsidRDefault="00025812" w:rsidP="00B23C0E">
      <w:pPr>
        <w:jc w:val="both"/>
        <w:rPr>
          <w:lang w:val="en-GB"/>
        </w:rPr>
      </w:pPr>
      <w:r>
        <w:rPr>
          <w:lang w:val="en-GB"/>
        </w:rPr>
        <w:t>After the transparent schemes were adopted as semi-OL/OL schemes for NR R15, the CSI reporting scheme to support transparent</w:t>
      </w:r>
      <w:r w:rsidR="007900E9">
        <w:rPr>
          <w:lang w:val="en-GB"/>
        </w:rPr>
        <w:t xml:space="preserve"> semi-OL/OL scheme receive lots of attentions. There are two main issues involved in this topic. The first issue is whether to include PMI feedback in the CSI reporting. The main argument lies in whether the PMI feedback can provide benefit at high mobility and whether the spatial information can be inferred from other methods, e.g., CSI feedback for TS1 schemes. The second issue</w:t>
      </w:r>
      <w:r>
        <w:rPr>
          <w:lang w:val="en-GB"/>
        </w:rPr>
        <w:t xml:space="preserve"> </w:t>
      </w:r>
      <w:r w:rsidR="007900E9">
        <w:rPr>
          <w:lang w:val="en-GB"/>
        </w:rPr>
        <w:t xml:space="preserve">lies in the CQI computation assumption. Since the CQI computation method for TS1 scheme may lead to outdated CQI, the main argument is what precoder should be used to compute a robust CQI so as to have a high reliability for high speed UEs. </w:t>
      </w:r>
    </w:p>
    <w:p w14:paraId="470ADF93" w14:textId="21951401" w:rsidR="00882FB0" w:rsidRPr="00882FB0" w:rsidRDefault="00882FB0" w:rsidP="00B23C0E">
      <w:pPr>
        <w:spacing w:before="120" w:after="120"/>
        <w:jc w:val="both"/>
        <w:rPr>
          <w:lang w:val="en-GB"/>
        </w:rPr>
      </w:pPr>
      <w:r w:rsidRPr="00882FB0">
        <w:rPr>
          <w:lang w:val="en-GB"/>
        </w:rPr>
        <w:t xml:space="preserve">Let us first revisit the CSI feedback schemes for SFBC and RE-level cycling in LTE eFD-MIMO. In those schemes, a partial PMI, W1 matrix is reported and the CQI computation was based on a fixed beam selection. The main reason is that fixed beam selection has the lowest computation complexity, and the Alamouti coding for rank-1 and RE-level co-phase cycling for rank-2 ensures a robust CQI so that fast channel variation does not degrade CQI accuracy very much. However, in NR, since SFBC and RE-level cycling are not supported due to interference rejection issue, a fixed precoder for CQI computation does not provide a robust CQI. The main reason is that the fixed precoder selection does not only fix the beam, but also fix the co-phase vector/matrix, wherein the co-phase vector/matrix is a short-term coefficient and is sensitive to channel variation. If the method of LTE eFD-MIMO is reused by only fixing the beam, it is still remaining to study how to deal with the 4 co-phase vectors associated with the selected beam. </w:t>
      </w:r>
      <w:r w:rsidR="00097B69">
        <w:rPr>
          <w:lang w:val="en-GB"/>
        </w:rPr>
        <w:t>Hence, NR should consider other</w:t>
      </w:r>
      <w:r w:rsidRPr="00882FB0">
        <w:rPr>
          <w:lang w:val="en-GB"/>
        </w:rPr>
        <w:t>.</w:t>
      </w:r>
    </w:p>
    <w:p w14:paraId="66B0B6D7" w14:textId="1E786FD3" w:rsidR="00882FB0" w:rsidRPr="00882FB0" w:rsidRDefault="00882FB0" w:rsidP="00B23C0E">
      <w:pPr>
        <w:spacing w:before="120" w:after="120"/>
        <w:jc w:val="both"/>
        <w:rPr>
          <w:b/>
          <w:i/>
          <w:lang w:val="en-GB"/>
        </w:rPr>
      </w:pPr>
      <w:r w:rsidRPr="00882FB0">
        <w:rPr>
          <w:b/>
          <w:i/>
          <w:lang w:val="en-GB"/>
        </w:rPr>
        <w:t>Observation 1: the CQI computation method employed in LTE eFD-MIMO may not suffice to provide robust CQI quality because the RE-level co-phase cycling and SFBC are not supported in NR.</w:t>
      </w:r>
    </w:p>
    <w:p w14:paraId="269992CF" w14:textId="448613C1" w:rsidR="00296285" w:rsidRDefault="00296285" w:rsidP="00B23C0E">
      <w:pPr>
        <w:jc w:val="both"/>
        <w:rPr>
          <w:lang w:val="en-GB"/>
        </w:rPr>
      </w:pPr>
      <w:r>
        <w:rPr>
          <w:lang w:val="en-GB"/>
        </w:rPr>
        <w:t>I</w:t>
      </w:r>
      <w:r w:rsidR="008E4892">
        <w:rPr>
          <w:lang w:val="en-GB"/>
        </w:rPr>
        <w:t xml:space="preserve">n the following, we elaborate on </w:t>
      </w:r>
      <w:r w:rsidR="007900E9">
        <w:rPr>
          <w:lang w:val="en-GB"/>
        </w:rPr>
        <w:t>several</w:t>
      </w:r>
      <w:r w:rsidR="008E4892">
        <w:rPr>
          <w:lang w:val="en-GB"/>
        </w:rPr>
        <w:t xml:space="preserve"> CSI feedback schemes and discuss their pros and cons including signalling overhead, flexibility and performance.</w:t>
      </w:r>
      <w:r w:rsidR="00E63EED">
        <w:rPr>
          <w:lang w:val="en-GB"/>
        </w:rPr>
        <w:t xml:space="preserve"> The key features of these schemes are highlighted in Table 1.</w:t>
      </w:r>
    </w:p>
    <w:p w14:paraId="42A119A8" w14:textId="62F1D487" w:rsidR="00882FB0" w:rsidRPr="00882FB0" w:rsidRDefault="00882FB0" w:rsidP="00882FB0">
      <w:pPr>
        <w:spacing w:before="120" w:after="120"/>
        <w:jc w:val="center"/>
        <w:rPr>
          <w:b/>
          <w:lang w:val="en-GB"/>
        </w:rPr>
      </w:pPr>
      <w:r w:rsidRPr="00882FB0">
        <w:rPr>
          <w:b/>
          <w:lang w:val="en-GB"/>
        </w:rPr>
        <w:t xml:space="preserve">Table 1. </w:t>
      </w:r>
      <w:r>
        <w:rPr>
          <w:b/>
          <w:lang w:val="en-GB"/>
        </w:rPr>
        <w:t>CSI feedback schemes for TS2</w:t>
      </w:r>
    </w:p>
    <w:tbl>
      <w:tblPr>
        <w:tblStyle w:val="TableGrid"/>
        <w:tblW w:w="10029" w:type="dxa"/>
        <w:tblLook w:val="04A0" w:firstRow="1" w:lastRow="0" w:firstColumn="1" w:lastColumn="0" w:noHBand="0" w:noVBand="1"/>
      </w:tblPr>
      <w:tblGrid>
        <w:gridCol w:w="943"/>
        <w:gridCol w:w="2112"/>
        <w:gridCol w:w="2520"/>
        <w:gridCol w:w="4454"/>
      </w:tblGrid>
      <w:tr w:rsidR="00E63EED" w14:paraId="62ACF4D4" w14:textId="77777777" w:rsidTr="00102DC4">
        <w:trPr>
          <w:trHeight w:val="513"/>
        </w:trPr>
        <w:tc>
          <w:tcPr>
            <w:tcW w:w="943" w:type="dxa"/>
            <w:vAlign w:val="center"/>
          </w:tcPr>
          <w:p w14:paraId="0DB7DB62" w14:textId="77777777" w:rsidR="00E63EED" w:rsidRDefault="00E63EED" w:rsidP="00102DC4">
            <w:pPr>
              <w:spacing w:after="120"/>
              <w:jc w:val="center"/>
              <w:rPr>
                <w:lang w:val="en-GB"/>
              </w:rPr>
            </w:pPr>
            <w:r>
              <w:rPr>
                <w:lang w:val="en-GB"/>
              </w:rPr>
              <w:t>Scheme</w:t>
            </w:r>
          </w:p>
        </w:tc>
        <w:tc>
          <w:tcPr>
            <w:tcW w:w="2112" w:type="dxa"/>
          </w:tcPr>
          <w:p w14:paraId="61680362" w14:textId="77777777" w:rsidR="00E63EED" w:rsidRDefault="00E63EED" w:rsidP="00102DC4">
            <w:pPr>
              <w:spacing w:after="120"/>
              <w:jc w:val="center"/>
              <w:rPr>
                <w:lang w:val="en-GB"/>
              </w:rPr>
            </w:pPr>
            <w:r>
              <w:rPr>
                <w:lang w:val="en-GB"/>
              </w:rPr>
              <w:t>Reporting mode</w:t>
            </w:r>
          </w:p>
        </w:tc>
        <w:tc>
          <w:tcPr>
            <w:tcW w:w="2520" w:type="dxa"/>
            <w:vAlign w:val="center"/>
          </w:tcPr>
          <w:p w14:paraId="6E56BD10" w14:textId="77777777" w:rsidR="00E63EED" w:rsidRDefault="00E63EED" w:rsidP="00102DC4">
            <w:pPr>
              <w:spacing w:after="120"/>
              <w:jc w:val="center"/>
              <w:rPr>
                <w:lang w:val="en-GB"/>
              </w:rPr>
            </w:pPr>
            <w:r>
              <w:rPr>
                <w:lang w:val="en-GB"/>
              </w:rPr>
              <w:t>PMI</w:t>
            </w:r>
          </w:p>
        </w:tc>
        <w:tc>
          <w:tcPr>
            <w:tcW w:w="4454" w:type="dxa"/>
            <w:vAlign w:val="center"/>
          </w:tcPr>
          <w:p w14:paraId="109FEF53" w14:textId="77777777" w:rsidR="00E63EED" w:rsidRDefault="00E63EED" w:rsidP="00102DC4">
            <w:pPr>
              <w:spacing w:after="120"/>
              <w:jc w:val="center"/>
              <w:rPr>
                <w:lang w:val="en-GB"/>
              </w:rPr>
            </w:pPr>
            <w:r>
              <w:rPr>
                <w:lang w:val="en-GB"/>
              </w:rPr>
              <w:t>CQI</w:t>
            </w:r>
          </w:p>
        </w:tc>
      </w:tr>
      <w:tr w:rsidR="00E63EED" w14:paraId="75723E4C" w14:textId="77777777" w:rsidTr="00102DC4">
        <w:trPr>
          <w:trHeight w:val="787"/>
        </w:trPr>
        <w:tc>
          <w:tcPr>
            <w:tcW w:w="943" w:type="dxa"/>
            <w:vAlign w:val="center"/>
          </w:tcPr>
          <w:p w14:paraId="20395344" w14:textId="77777777" w:rsidR="00E63EED" w:rsidRDefault="00E63EED" w:rsidP="00102DC4">
            <w:pPr>
              <w:spacing w:after="120"/>
              <w:jc w:val="center"/>
              <w:rPr>
                <w:lang w:val="en-GB"/>
              </w:rPr>
            </w:pPr>
            <w:r>
              <w:rPr>
                <w:lang w:val="en-GB"/>
              </w:rPr>
              <w:t>1</w:t>
            </w:r>
          </w:p>
        </w:tc>
        <w:tc>
          <w:tcPr>
            <w:tcW w:w="2112" w:type="dxa"/>
            <w:vAlign w:val="center"/>
          </w:tcPr>
          <w:p w14:paraId="523C20E8" w14:textId="77777777" w:rsidR="00E63EED" w:rsidRDefault="00E63EED" w:rsidP="00102DC4">
            <w:pPr>
              <w:spacing w:after="120"/>
              <w:jc w:val="center"/>
              <w:rPr>
                <w:lang w:val="en-GB"/>
              </w:rPr>
            </w:pPr>
            <w:r w:rsidRPr="00E63EED">
              <w:rPr>
                <w:lang w:val="en-GB"/>
              </w:rPr>
              <w:t>No specific reporting mode for TS2</w:t>
            </w:r>
          </w:p>
        </w:tc>
        <w:tc>
          <w:tcPr>
            <w:tcW w:w="2520" w:type="dxa"/>
            <w:vAlign w:val="center"/>
          </w:tcPr>
          <w:p w14:paraId="67C74FE0" w14:textId="77777777" w:rsidR="00E63EED" w:rsidRDefault="00E63EED" w:rsidP="00102DC4">
            <w:pPr>
              <w:spacing w:after="120"/>
              <w:jc w:val="center"/>
              <w:rPr>
                <w:lang w:val="en-GB"/>
              </w:rPr>
            </w:pPr>
            <w:r>
              <w:rPr>
                <w:lang w:val="en-GB"/>
              </w:rPr>
              <w:t>Same as TS1, no specific reporting mode for TS2</w:t>
            </w:r>
          </w:p>
        </w:tc>
        <w:tc>
          <w:tcPr>
            <w:tcW w:w="4454" w:type="dxa"/>
            <w:vAlign w:val="center"/>
          </w:tcPr>
          <w:p w14:paraId="64503E48" w14:textId="77777777" w:rsidR="00E63EED" w:rsidRDefault="00E63EED" w:rsidP="00102DC4">
            <w:pPr>
              <w:spacing w:after="120"/>
              <w:jc w:val="center"/>
              <w:rPr>
                <w:lang w:val="en-GB"/>
              </w:rPr>
            </w:pPr>
            <w:r>
              <w:rPr>
                <w:lang w:val="en-GB"/>
              </w:rPr>
              <w:t>Same as TS1, no specific reporting mode for TS2</w:t>
            </w:r>
          </w:p>
        </w:tc>
      </w:tr>
      <w:tr w:rsidR="00E63EED" w14:paraId="3D2B9360" w14:textId="77777777" w:rsidTr="00102DC4">
        <w:trPr>
          <w:trHeight w:val="1050"/>
        </w:trPr>
        <w:tc>
          <w:tcPr>
            <w:tcW w:w="943" w:type="dxa"/>
            <w:vAlign w:val="center"/>
          </w:tcPr>
          <w:p w14:paraId="3ACCEA43" w14:textId="77777777" w:rsidR="00E63EED" w:rsidRDefault="00E63EED" w:rsidP="00102DC4">
            <w:pPr>
              <w:spacing w:after="120"/>
              <w:jc w:val="center"/>
              <w:rPr>
                <w:lang w:val="en-GB"/>
              </w:rPr>
            </w:pPr>
            <w:r>
              <w:rPr>
                <w:lang w:val="en-GB"/>
              </w:rPr>
              <w:lastRenderedPageBreak/>
              <w:t>2</w:t>
            </w:r>
          </w:p>
        </w:tc>
        <w:tc>
          <w:tcPr>
            <w:tcW w:w="2112" w:type="dxa"/>
            <w:vAlign w:val="center"/>
          </w:tcPr>
          <w:p w14:paraId="6243E188" w14:textId="77777777" w:rsidR="00E63EED" w:rsidRDefault="00E63EED" w:rsidP="00102DC4">
            <w:pPr>
              <w:spacing w:after="120"/>
              <w:jc w:val="center"/>
              <w:rPr>
                <w:lang w:val="en-GB"/>
              </w:rPr>
            </w:pPr>
            <w:r w:rsidRPr="00E63EED">
              <w:rPr>
                <w:lang w:val="en-GB"/>
              </w:rPr>
              <w:t>UE-determined</w:t>
            </w:r>
            <w:r>
              <w:rPr>
                <w:lang w:val="en-GB"/>
              </w:rPr>
              <w:t xml:space="preserve"> </w:t>
            </w:r>
          </w:p>
          <w:p w14:paraId="61300C66" w14:textId="77777777" w:rsidR="00E63EED" w:rsidRDefault="00E63EED" w:rsidP="00102DC4">
            <w:pPr>
              <w:spacing w:after="120"/>
              <w:jc w:val="center"/>
              <w:rPr>
                <w:lang w:val="en-GB"/>
              </w:rPr>
            </w:pPr>
            <w:r>
              <w:rPr>
                <w:lang w:val="en-GB"/>
              </w:rPr>
              <w:t>(no specific reporting mode for TS2, UE selects TS1 or TS2 to perform feedback)</w:t>
            </w:r>
          </w:p>
        </w:tc>
        <w:tc>
          <w:tcPr>
            <w:tcW w:w="2520" w:type="dxa"/>
            <w:vAlign w:val="center"/>
          </w:tcPr>
          <w:p w14:paraId="0B5897C6" w14:textId="77777777" w:rsidR="00E63EED" w:rsidRDefault="00E63EED" w:rsidP="00102DC4">
            <w:pPr>
              <w:spacing w:after="120"/>
              <w:jc w:val="center"/>
              <w:rPr>
                <w:lang w:val="en-GB"/>
              </w:rPr>
            </w:pPr>
            <w:r>
              <w:rPr>
                <w:lang w:val="en-GB"/>
              </w:rPr>
              <w:t>Specific/dedicated PMI for TS1/TS2 indication</w:t>
            </w:r>
          </w:p>
        </w:tc>
        <w:tc>
          <w:tcPr>
            <w:tcW w:w="4454" w:type="dxa"/>
            <w:vAlign w:val="center"/>
          </w:tcPr>
          <w:p w14:paraId="60C33DED" w14:textId="77777777" w:rsidR="00E63EED" w:rsidRDefault="00E63EED" w:rsidP="00102DC4">
            <w:pPr>
              <w:spacing w:after="120"/>
              <w:jc w:val="center"/>
              <w:rPr>
                <w:lang w:val="en-GB"/>
              </w:rPr>
            </w:pPr>
            <w:r>
              <w:rPr>
                <w:lang w:val="en-GB"/>
              </w:rPr>
              <w:t>CQI dependent on the specific/dedicated PMI, i.e., a (pre-defined/UE-selected) cycling pattern or SCDD</w:t>
            </w:r>
          </w:p>
        </w:tc>
      </w:tr>
      <w:tr w:rsidR="00E63EED" w14:paraId="15544EC9" w14:textId="77777777" w:rsidTr="00102DC4">
        <w:trPr>
          <w:trHeight w:val="199"/>
        </w:trPr>
        <w:tc>
          <w:tcPr>
            <w:tcW w:w="943" w:type="dxa"/>
            <w:vAlign w:val="center"/>
          </w:tcPr>
          <w:p w14:paraId="4BC1A164" w14:textId="77777777" w:rsidR="00E63EED" w:rsidRDefault="00E63EED" w:rsidP="00102DC4">
            <w:pPr>
              <w:spacing w:after="120"/>
              <w:jc w:val="center"/>
              <w:rPr>
                <w:lang w:val="en-GB"/>
              </w:rPr>
            </w:pPr>
            <w:r>
              <w:rPr>
                <w:lang w:val="en-GB"/>
              </w:rPr>
              <w:t>3.1</w:t>
            </w:r>
          </w:p>
        </w:tc>
        <w:tc>
          <w:tcPr>
            <w:tcW w:w="2112" w:type="dxa"/>
            <w:vAlign w:val="center"/>
          </w:tcPr>
          <w:p w14:paraId="5E595929" w14:textId="77777777" w:rsidR="00E63EED" w:rsidRDefault="00E63EED" w:rsidP="00102DC4">
            <w:pPr>
              <w:spacing w:after="120"/>
              <w:jc w:val="center"/>
              <w:rPr>
                <w:lang w:val="en-GB"/>
              </w:rPr>
            </w:pPr>
            <w:r w:rsidRPr="00E63EED">
              <w:rPr>
                <w:lang w:val="en-GB"/>
              </w:rPr>
              <w:t>BS-determined</w:t>
            </w:r>
            <w:r>
              <w:rPr>
                <w:lang w:val="en-GB"/>
              </w:rPr>
              <w:t xml:space="preserve"> </w:t>
            </w:r>
          </w:p>
          <w:p w14:paraId="24BE5FF3" w14:textId="77777777" w:rsidR="00E63EED" w:rsidRDefault="00E63EED" w:rsidP="00102DC4">
            <w:pPr>
              <w:spacing w:after="120"/>
              <w:jc w:val="center"/>
              <w:rPr>
                <w:lang w:val="en-GB"/>
              </w:rPr>
            </w:pPr>
            <w:r>
              <w:rPr>
                <w:lang w:val="en-GB"/>
              </w:rPr>
              <w:t>(a dedicated reporting mode for TS2)</w:t>
            </w:r>
          </w:p>
        </w:tc>
        <w:tc>
          <w:tcPr>
            <w:tcW w:w="2520" w:type="dxa"/>
            <w:vAlign w:val="center"/>
          </w:tcPr>
          <w:p w14:paraId="3673AFE4" w14:textId="77777777" w:rsidR="00E63EED" w:rsidRDefault="00E63EED" w:rsidP="00102DC4">
            <w:pPr>
              <w:spacing w:after="120"/>
              <w:jc w:val="center"/>
              <w:rPr>
                <w:lang w:val="en-GB"/>
              </w:rPr>
            </w:pPr>
            <w:r>
              <w:rPr>
                <w:lang w:val="en-GB"/>
              </w:rPr>
              <w:t>No PMI</w:t>
            </w:r>
          </w:p>
        </w:tc>
        <w:tc>
          <w:tcPr>
            <w:tcW w:w="4454" w:type="dxa"/>
            <w:vAlign w:val="center"/>
          </w:tcPr>
          <w:p w14:paraId="0F2F83AA" w14:textId="77777777" w:rsidR="00E63EED" w:rsidRDefault="00E63EED" w:rsidP="00102DC4">
            <w:pPr>
              <w:spacing w:after="120"/>
              <w:jc w:val="center"/>
              <w:rPr>
                <w:lang w:val="en-GB"/>
              </w:rPr>
            </w:pPr>
            <w:r>
              <w:rPr>
                <w:lang w:val="en-GB"/>
              </w:rPr>
              <w:t>CQI derivation based on CSR (if applicable):</w:t>
            </w:r>
          </w:p>
          <w:p w14:paraId="2CDACF53" w14:textId="77777777" w:rsidR="00E63EED" w:rsidRDefault="00E63EED" w:rsidP="00102DC4">
            <w:pPr>
              <w:spacing w:after="120"/>
              <w:jc w:val="center"/>
              <w:rPr>
                <w:lang w:val="en-GB"/>
              </w:rPr>
            </w:pPr>
            <w:r>
              <w:rPr>
                <w:lang w:val="en-GB"/>
              </w:rPr>
              <w:t>Opt-1: average CQI over each candidate precoder;</w:t>
            </w:r>
          </w:p>
          <w:p w14:paraId="61507054" w14:textId="77777777" w:rsidR="00E63EED" w:rsidRDefault="00E63EED" w:rsidP="00102DC4">
            <w:pPr>
              <w:spacing w:after="120"/>
              <w:jc w:val="center"/>
              <w:rPr>
                <w:lang w:val="en-GB"/>
              </w:rPr>
            </w:pPr>
            <w:r>
              <w:rPr>
                <w:lang w:val="en-GB"/>
              </w:rPr>
              <w:t>Opt-2: CQI derived base on a (pre-defined/UE-selected) cycling pattern or SCDD</w:t>
            </w:r>
          </w:p>
          <w:p w14:paraId="65F223CD" w14:textId="77777777" w:rsidR="00E63EED" w:rsidRDefault="00E63EED" w:rsidP="00102DC4">
            <w:pPr>
              <w:spacing w:after="120"/>
              <w:jc w:val="center"/>
              <w:rPr>
                <w:lang w:val="en-GB"/>
              </w:rPr>
            </w:pPr>
            <w:r>
              <w:rPr>
                <w:lang w:val="en-GB"/>
              </w:rPr>
              <w:t>Opt-3: a fixed precoder</w:t>
            </w:r>
          </w:p>
        </w:tc>
      </w:tr>
      <w:tr w:rsidR="00E63EED" w14:paraId="4FEAEF71" w14:textId="77777777" w:rsidTr="00102DC4">
        <w:trPr>
          <w:trHeight w:val="199"/>
        </w:trPr>
        <w:tc>
          <w:tcPr>
            <w:tcW w:w="943" w:type="dxa"/>
            <w:vAlign w:val="center"/>
          </w:tcPr>
          <w:p w14:paraId="5E5F2A4B" w14:textId="77777777" w:rsidR="00E63EED" w:rsidRDefault="00E63EED" w:rsidP="00102DC4">
            <w:pPr>
              <w:spacing w:after="120"/>
              <w:jc w:val="center"/>
              <w:rPr>
                <w:lang w:val="en-GB"/>
              </w:rPr>
            </w:pPr>
            <w:r>
              <w:rPr>
                <w:lang w:val="en-GB"/>
              </w:rPr>
              <w:t>3.2</w:t>
            </w:r>
          </w:p>
        </w:tc>
        <w:tc>
          <w:tcPr>
            <w:tcW w:w="2112" w:type="dxa"/>
            <w:vAlign w:val="center"/>
          </w:tcPr>
          <w:p w14:paraId="03E65EB5" w14:textId="77777777" w:rsidR="00E63EED" w:rsidRDefault="00E63EED" w:rsidP="00102DC4">
            <w:pPr>
              <w:spacing w:after="120"/>
              <w:jc w:val="center"/>
              <w:rPr>
                <w:lang w:val="en-GB"/>
              </w:rPr>
            </w:pPr>
            <w:r w:rsidRPr="00E63EED">
              <w:rPr>
                <w:lang w:val="en-GB"/>
              </w:rPr>
              <w:t>BS-determined</w:t>
            </w:r>
            <w:r>
              <w:rPr>
                <w:lang w:val="en-GB"/>
              </w:rPr>
              <w:t xml:space="preserve"> </w:t>
            </w:r>
          </w:p>
          <w:p w14:paraId="37CC08F7" w14:textId="77777777" w:rsidR="00E63EED" w:rsidRPr="00E63EED" w:rsidRDefault="00E63EED" w:rsidP="00102DC4">
            <w:pPr>
              <w:spacing w:after="120"/>
              <w:jc w:val="center"/>
              <w:rPr>
                <w:lang w:val="en-GB"/>
              </w:rPr>
            </w:pPr>
            <w:r>
              <w:rPr>
                <w:lang w:val="en-GB"/>
              </w:rPr>
              <w:t>(a dedicated reporting mode for TS2)</w:t>
            </w:r>
          </w:p>
        </w:tc>
        <w:tc>
          <w:tcPr>
            <w:tcW w:w="2520" w:type="dxa"/>
            <w:vAlign w:val="center"/>
          </w:tcPr>
          <w:p w14:paraId="2980C2F3" w14:textId="77777777" w:rsidR="00E63EED" w:rsidRDefault="00E63EED" w:rsidP="00102DC4">
            <w:pPr>
              <w:spacing w:after="120"/>
              <w:jc w:val="center"/>
              <w:rPr>
                <w:lang w:val="en-GB"/>
              </w:rPr>
            </w:pPr>
            <w:r>
              <w:rPr>
                <w:lang w:val="en-GB"/>
              </w:rPr>
              <w:t>Partial PMI</w:t>
            </w:r>
          </w:p>
        </w:tc>
        <w:tc>
          <w:tcPr>
            <w:tcW w:w="4454" w:type="dxa"/>
            <w:vAlign w:val="center"/>
          </w:tcPr>
          <w:p w14:paraId="4BC3A83D" w14:textId="77777777" w:rsidR="00E63EED" w:rsidRDefault="00E63EED" w:rsidP="00102DC4">
            <w:pPr>
              <w:spacing w:after="120"/>
              <w:jc w:val="center"/>
              <w:rPr>
                <w:lang w:val="en-GB"/>
              </w:rPr>
            </w:pPr>
            <w:r>
              <w:rPr>
                <w:lang w:val="en-GB"/>
              </w:rPr>
              <w:t>CQI derivation based on the reported partial PMI:</w:t>
            </w:r>
          </w:p>
          <w:p w14:paraId="2C19FC56" w14:textId="77777777" w:rsidR="00E63EED" w:rsidRDefault="00E63EED" w:rsidP="00102DC4">
            <w:pPr>
              <w:spacing w:after="120"/>
              <w:jc w:val="center"/>
              <w:rPr>
                <w:lang w:val="en-GB"/>
              </w:rPr>
            </w:pPr>
            <w:r>
              <w:rPr>
                <w:lang w:val="en-GB"/>
              </w:rPr>
              <w:t>Opt-1: average CQI over each candidate precoder;</w:t>
            </w:r>
          </w:p>
          <w:p w14:paraId="7BF2305A" w14:textId="77777777" w:rsidR="00E63EED" w:rsidRDefault="00E63EED" w:rsidP="00102DC4">
            <w:pPr>
              <w:spacing w:after="120"/>
              <w:jc w:val="center"/>
              <w:rPr>
                <w:lang w:val="en-GB"/>
              </w:rPr>
            </w:pPr>
            <w:r>
              <w:rPr>
                <w:lang w:val="en-GB"/>
              </w:rPr>
              <w:t>Opt-2: CQI derived base on a (pre-defined/UE-selected) cycling pattern or SCDD</w:t>
            </w:r>
          </w:p>
          <w:p w14:paraId="1535E6FB" w14:textId="77777777" w:rsidR="00E63EED" w:rsidRDefault="00E63EED" w:rsidP="00102DC4">
            <w:pPr>
              <w:spacing w:after="120"/>
              <w:jc w:val="center"/>
              <w:rPr>
                <w:lang w:val="en-GB"/>
              </w:rPr>
            </w:pPr>
            <w:r>
              <w:rPr>
                <w:lang w:val="en-GB"/>
              </w:rPr>
              <w:t>Opt-3: a fixed precoder</w:t>
            </w:r>
          </w:p>
        </w:tc>
      </w:tr>
    </w:tbl>
    <w:p w14:paraId="41C7630D" w14:textId="77777777" w:rsidR="00E63EED" w:rsidRDefault="00E63EED" w:rsidP="00296285">
      <w:pPr>
        <w:rPr>
          <w:lang w:val="en-GB"/>
        </w:rPr>
      </w:pPr>
    </w:p>
    <w:p w14:paraId="0220A92D" w14:textId="75AF19A4" w:rsidR="008E4892" w:rsidRDefault="008E4892" w:rsidP="00724CEB">
      <w:pPr>
        <w:pStyle w:val="Heading2"/>
      </w:pPr>
      <w:r>
        <w:t>Scheme 1: Reusing CSI reporting mode for TS1</w:t>
      </w:r>
    </w:p>
    <w:p w14:paraId="59778E1B" w14:textId="73337EEC" w:rsidR="008E4892" w:rsidRDefault="00C35DC9" w:rsidP="00B23C0E">
      <w:pPr>
        <w:jc w:val="both"/>
        <w:rPr>
          <w:lang w:val="en-GB"/>
        </w:rPr>
      </w:pPr>
      <w:r>
        <w:rPr>
          <w:lang w:val="en-GB"/>
        </w:rPr>
        <w:t xml:space="preserve">In this scheme, there is no specific CSI reporting configuration defined for TS2. </w:t>
      </w:r>
      <w:r w:rsidR="00CA15D0">
        <w:rPr>
          <w:lang w:val="en-GB"/>
        </w:rPr>
        <w:t xml:space="preserve">UE report any combination of RI, PMI and CQI following the CSI reporting configuration for TS1. The determination of transmission scheme (e.g., TS1 or TS2 including RB-level cycling or SCDD) and the MCS is an implementation issue and is completely performed by the network. Hence, this scheme has no specification effort. However, from performance perspective, the robustness of the CQI reporting is unclear, especially for LTE CLASS-A like operation – UE reports RI, PMI and CQI based on non-precoded CSI-RS. To enhance the </w:t>
      </w:r>
      <w:r w:rsidR="00A363A5">
        <w:rPr>
          <w:lang w:val="en-GB"/>
        </w:rPr>
        <w:t>CQI reporting accuracy, one possible use case for this scheme is LTE hybrid like operation. That is, UE reports PMI based on non-precoded CSI-RS at a first stage; then, the base station decides a TS2 scheme and transmits a beamformed CSI-RS based on the received PMI, asks the UE to report a CQI based on the evaluation of the beamfored CSI-RS at a second stage. The drawback of this use case is the complexity and latency incurred in the two-stage reporting.</w:t>
      </w:r>
    </w:p>
    <w:p w14:paraId="19991375" w14:textId="1627E0F4" w:rsidR="00A363A5" w:rsidRDefault="00A363A5" w:rsidP="00724CEB">
      <w:pPr>
        <w:pStyle w:val="Heading2"/>
      </w:pPr>
      <w:r>
        <w:t>Scheme 2: UE-determined CSI reporting mode for TS2</w:t>
      </w:r>
    </w:p>
    <w:p w14:paraId="7596857A" w14:textId="77777777" w:rsidR="00223448" w:rsidRDefault="00A363A5" w:rsidP="00B23C0E">
      <w:pPr>
        <w:jc w:val="both"/>
        <w:rPr>
          <w:lang w:val="en-GB"/>
        </w:rPr>
      </w:pPr>
      <w:r>
        <w:rPr>
          <w:lang w:val="en-GB"/>
        </w:rPr>
        <w:t xml:space="preserve">This scheme defines a new CSI reporting configuration, where the UE determines whether to report the CSI based on a TS1 scheme or TS2 scheme. </w:t>
      </w:r>
      <w:r w:rsidR="00B42536">
        <w:rPr>
          <w:lang w:val="en-GB"/>
        </w:rPr>
        <w:t xml:space="preserve">Specifically, a CSI reporting for TS1 scheme may include RI, PMI and CQI, where the CQI computation is based the selected rank and codeword. Besides, a CSI reporting for TS2 scheme may include RI, a specific PMI and CQI. The specific PMI indicates that the associated CQI reporting is based on a TS2 scheme. </w:t>
      </w:r>
      <w:r w:rsidR="00223448">
        <w:rPr>
          <w:lang w:val="en-GB"/>
        </w:rPr>
        <w:t>The CQI computation can be based on an average spectral efficiency resulted by all the candidate precoders or based on a specific TS scheme. In the latter case</w:t>
      </w:r>
      <w:r w:rsidR="00B42536">
        <w:rPr>
          <w:lang w:val="en-GB"/>
        </w:rPr>
        <w:t xml:space="preserve">, the specific PMI can indicate which </w:t>
      </w:r>
      <w:r w:rsidR="00335ECC">
        <w:rPr>
          <w:lang w:val="en-GB"/>
        </w:rPr>
        <w:t xml:space="preserve">TS2 </w:t>
      </w:r>
      <w:r w:rsidR="00B42536">
        <w:rPr>
          <w:lang w:val="en-GB"/>
        </w:rPr>
        <w:t>scheme (RB-level cycling or SCDD) is used. Moreover, the cycling pattern can be also involved in the specific PMI reporting if there</w:t>
      </w:r>
      <w:r w:rsidR="00A02CA1">
        <w:rPr>
          <w:lang w:val="en-GB"/>
        </w:rPr>
        <w:t xml:space="preserve"> are multiple specific PMI entries and multiple candidate cycling patterns are defined. </w:t>
      </w:r>
    </w:p>
    <w:p w14:paraId="12ED9D60" w14:textId="5A7E7573" w:rsidR="00A363A5" w:rsidRDefault="00A02CA1" w:rsidP="00B23C0E">
      <w:pPr>
        <w:jc w:val="both"/>
        <w:rPr>
          <w:lang w:val="en-GB"/>
        </w:rPr>
      </w:pPr>
      <w:r>
        <w:rPr>
          <w:lang w:val="en-GB"/>
        </w:rPr>
        <w:t>This scheme</w:t>
      </w:r>
      <w:r w:rsidR="00223448">
        <w:rPr>
          <w:lang w:val="en-GB"/>
        </w:rPr>
        <w:t xml:space="preserve"> has low specification impact by introducing a specific PMI in the set of candidate PMI values. Besides, this scheme</w:t>
      </w:r>
      <w:r>
        <w:rPr>
          <w:lang w:val="en-GB"/>
        </w:rPr>
        <w:t xml:space="preserve"> gives UE the full flexibility to determine the preferred scheme. The network is aware of the preferred scheme once identifying the PMI. The CQI reporting provides a certain robustness as the CQI reflects the link quality of the preferred scheme. </w:t>
      </w:r>
      <w:r w:rsidR="00335ECC">
        <w:rPr>
          <w:lang w:val="en-GB"/>
        </w:rPr>
        <w:t>The determination of which scheme is assumed to compute CQI is a UE implementation issue.</w:t>
      </w:r>
    </w:p>
    <w:p w14:paraId="0498A90D" w14:textId="3D633BC8" w:rsidR="00AB44AF" w:rsidRDefault="00AB44AF" w:rsidP="00724CEB">
      <w:pPr>
        <w:pStyle w:val="Heading2"/>
      </w:pPr>
      <w:r>
        <w:t xml:space="preserve">Scheme 3: </w:t>
      </w:r>
      <w:r w:rsidR="00335ECC">
        <w:t>BS-determined CSI reporting mode for TS2</w:t>
      </w:r>
    </w:p>
    <w:p w14:paraId="22F94851" w14:textId="79D5877D" w:rsidR="00335ECC" w:rsidRDefault="00335ECC" w:rsidP="00B23C0E">
      <w:pPr>
        <w:jc w:val="both"/>
        <w:rPr>
          <w:lang w:val="en-GB"/>
        </w:rPr>
      </w:pPr>
      <w:r>
        <w:rPr>
          <w:lang w:val="en-GB"/>
        </w:rPr>
        <w:t xml:space="preserve">In this scheme, the specification needs to define a specific CSI reporting configuration for TS2. This scheme has two alternatives </w:t>
      </w:r>
      <w:r w:rsidR="00F67B9C">
        <w:rPr>
          <w:lang w:val="en-GB"/>
        </w:rPr>
        <w:t>depending</w:t>
      </w:r>
      <w:r>
        <w:rPr>
          <w:lang w:val="en-GB"/>
        </w:rPr>
        <w:t xml:space="preserve"> on the reporting content.</w:t>
      </w:r>
    </w:p>
    <w:p w14:paraId="40358D7F" w14:textId="795EA7BC" w:rsidR="00335ECC" w:rsidRDefault="00335ECC" w:rsidP="00724CEB">
      <w:pPr>
        <w:pStyle w:val="Heading3"/>
      </w:pPr>
      <w:r>
        <w:t>Scheme 3.1: No PMI feedback, only RI and CQI reporting</w:t>
      </w:r>
    </w:p>
    <w:p w14:paraId="3F55CCB6" w14:textId="5CB0AF3A" w:rsidR="00724CEB" w:rsidRDefault="00724CEB" w:rsidP="00B23C0E">
      <w:pPr>
        <w:jc w:val="both"/>
        <w:rPr>
          <w:lang w:val="en-GB"/>
        </w:rPr>
      </w:pPr>
      <w:r>
        <w:rPr>
          <w:lang w:val="en-GB"/>
        </w:rPr>
        <w:t xml:space="preserve">In this alternative, the base station configures UE to report RI and CQI only. The RI and CQI derivation may follow a codebook subset restriction (CSR). </w:t>
      </w:r>
      <w:r w:rsidR="00B14FF8">
        <w:rPr>
          <w:lang w:val="en-GB"/>
        </w:rPr>
        <w:t xml:space="preserve">In some cases, the CSR may include a W1 restriction, which can be </w:t>
      </w:r>
      <w:r w:rsidR="00B14FF8" w:rsidRPr="00B14FF8">
        <w:rPr>
          <w:lang w:val="en-GB"/>
        </w:rPr>
        <w:t>determined based on a long-term/wideband measurement</w:t>
      </w:r>
      <w:r w:rsidR="00B14FF8">
        <w:rPr>
          <w:lang w:val="en-GB"/>
        </w:rPr>
        <w:t>. Given the subset of precoders</w:t>
      </w:r>
      <w:r w:rsidR="0034467D">
        <w:rPr>
          <w:lang w:val="en-GB"/>
        </w:rPr>
        <w:t>,</w:t>
      </w:r>
      <w:r w:rsidR="00B14FF8">
        <w:rPr>
          <w:lang w:val="en-GB"/>
        </w:rPr>
        <w:t xml:space="preserve"> </w:t>
      </w:r>
      <w:r w:rsidR="0034467D">
        <w:rPr>
          <w:lang w:val="en-GB"/>
        </w:rPr>
        <w:t>t</w:t>
      </w:r>
      <w:r>
        <w:rPr>
          <w:lang w:val="en-GB"/>
        </w:rPr>
        <w:t xml:space="preserve">here are three possible </w:t>
      </w:r>
      <w:r w:rsidR="0034467D">
        <w:rPr>
          <w:lang w:val="en-GB"/>
        </w:rPr>
        <w:t>ways</w:t>
      </w:r>
      <w:r>
        <w:rPr>
          <w:lang w:val="en-GB"/>
        </w:rPr>
        <w:t xml:space="preserve"> of CQI computation. First option is</w:t>
      </w:r>
      <w:r w:rsidR="00B14FF8">
        <w:rPr>
          <w:lang w:val="en-GB"/>
        </w:rPr>
        <w:t xml:space="preserve"> to</w:t>
      </w:r>
      <w:r w:rsidR="0034467D">
        <w:rPr>
          <w:lang w:val="en-GB"/>
        </w:rPr>
        <w:t xml:space="preserve"> derive CQI based on a fixed</w:t>
      </w:r>
      <w:r>
        <w:rPr>
          <w:lang w:val="en-GB"/>
        </w:rPr>
        <w:t xml:space="preserve"> </w:t>
      </w:r>
      <w:r w:rsidR="0034467D">
        <w:rPr>
          <w:lang w:val="en-GB"/>
        </w:rPr>
        <w:t xml:space="preserve">precoder; the second option is to </w:t>
      </w:r>
      <w:r>
        <w:rPr>
          <w:lang w:val="en-GB"/>
        </w:rPr>
        <w:t xml:space="preserve">report an average CQI of all the possible candidate precoders subject to the CSR; </w:t>
      </w:r>
      <w:r w:rsidR="00053C3D">
        <w:rPr>
          <w:lang w:val="en-GB"/>
        </w:rPr>
        <w:t>the third</w:t>
      </w:r>
      <w:r>
        <w:rPr>
          <w:lang w:val="en-GB"/>
        </w:rPr>
        <w:t xml:space="preserve"> option is to </w:t>
      </w:r>
      <w:r w:rsidR="00B14FF8">
        <w:rPr>
          <w:lang w:val="en-GB"/>
        </w:rPr>
        <w:t>report CQI based on a UE-selected cycling pattern</w:t>
      </w:r>
      <w:r w:rsidR="00053C3D">
        <w:rPr>
          <w:lang w:val="en-GB"/>
        </w:rPr>
        <w:t>. In some other cases, the CSR may include a restriction on the specific PMI aforementioned in Section 2.2. By doing so, the network configures UE to compute CQI based on a specific TS2 scheme</w:t>
      </w:r>
      <w:r w:rsidR="00B14FF8">
        <w:rPr>
          <w:lang w:val="en-GB"/>
        </w:rPr>
        <w:t xml:space="preserve"> </w:t>
      </w:r>
      <w:r w:rsidR="00053C3D">
        <w:rPr>
          <w:lang w:val="en-GB"/>
        </w:rPr>
        <w:t>(RB-level cycling or SCDD) and based on a specific cycling pattern.</w:t>
      </w:r>
    </w:p>
    <w:p w14:paraId="54D64129" w14:textId="7CDF1E16" w:rsidR="00053C3D" w:rsidRDefault="00053C3D" w:rsidP="00053C3D">
      <w:pPr>
        <w:pStyle w:val="Heading3"/>
      </w:pPr>
      <w:r>
        <w:t>Scheme 3.2: RI, partial PMI and CQI reporting</w:t>
      </w:r>
    </w:p>
    <w:p w14:paraId="16921D71" w14:textId="1AB2624B" w:rsidR="00053C3D" w:rsidRDefault="00053C3D" w:rsidP="00B23C0E">
      <w:pPr>
        <w:jc w:val="both"/>
        <w:rPr>
          <w:lang w:val="en-GB"/>
        </w:rPr>
      </w:pPr>
      <w:r w:rsidRPr="00053C3D">
        <w:rPr>
          <w:lang w:val="en-GB"/>
        </w:rPr>
        <w:t xml:space="preserve">In this scheme, the UE is required to report a W1 matrix or only the horizontal/vertical beam. </w:t>
      </w:r>
      <w:r>
        <w:rPr>
          <w:lang w:val="en-GB"/>
        </w:rPr>
        <w:t>The RI and CQI derivation are dependent on the reported partial PMI. Similar to the discussion in Section 2.3.1, there are three possible ways of CQI computation, i.e., CQI derivation based on a fixed precoder, an average CQI of all the possible candidate precoders subject to the partial PMI, or CQI derived based on a UE-selected cycling pattern</w:t>
      </w:r>
      <w:r w:rsidR="00A3504B">
        <w:rPr>
          <w:lang w:val="en-GB"/>
        </w:rPr>
        <w:t>.</w:t>
      </w:r>
      <w:r w:rsidRPr="00053C3D">
        <w:rPr>
          <w:lang w:val="en-GB"/>
        </w:rPr>
        <w:t xml:space="preserve"> Compared to </w:t>
      </w:r>
      <w:r w:rsidR="00A3504B">
        <w:rPr>
          <w:lang w:val="en-GB"/>
        </w:rPr>
        <w:t>scheme 3.1</w:t>
      </w:r>
      <w:r w:rsidRPr="00053C3D">
        <w:rPr>
          <w:lang w:val="en-GB"/>
        </w:rPr>
        <w:t xml:space="preserve">, </w:t>
      </w:r>
      <w:r w:rsidR="00A3504B">
        <w:rPr>
          <w:lang w:val="en-GB"/>
        </w:rPr>
        <w:t xml:space="preserve">this scheme provides preferred direction information with some extra cost on reporting the partial PMI. However, </w:t>
      </w:r>
      <w:r w:rsidRPr="00053C3D">
        <w:rPr>
          <w:lang w:val="en-GB"/>
        </w:rPr>
        <w:t>it remains to be investigated whether the extra overhead is really useful in benefiting the system throughput, especially when long-term channel information can be inferred from the TS1 feedback or long-term/wideband measurement</w:t>
      </w:r>
      <w:r w:rsidR="00A3504B">
        <w:rPr>
          <w:lang w:val="en-GB"/>
        </w:rPr>
        <w:t>.</w:t>
      </w:r>
    </w:p>
    <w:p w14:paraId="4871888C" w14:textId="16D304DF" w:rsidR="005E70C5" w:rsidRPr="00724CEB" w:rsidRDefault="00EF339C" w:rsidP="00B23C0E">
      <w:pPr>
        <w:jc w:val="both"/>
        <w:rPr>
          <w:lang w:val="en-GB"/>
        </w:rPr>
      </w:pPr>
      <w:r>
        <w:rPr>
          <w:lang w:val="en-GB"/>
        </w:rPr>
        <w:t>To sum,</w:t>
      </w:r>
      <w:r w:rsidR="00F67B9C">
        <w:rPr>
          <w:lang w:val="en-GB"/>
        </w:rPr>
        <w:t xml:space="preserve"> we think that no PMI feedback can be a starting point of evaluation</w:t>
      </w:r>
      <w:r>
        <w:rPr>
          <w:lang w:val="en-GB"/>
        </w:rPr>
        <w:t>, the usefulness of scheme 3.2 from performance needs to be clearly studied, because the partial PMI selection has much larger the UE side computation complexity than the case with no PMI feedback. Scheme 1 has the lowest complexity at the UE side, because the network does not configure any reporting mode for the TS2 scheme and all the precoders and MCS are selected based on previous TS1 CSI report. However, how to use the TS1 CSI report may impact the performance and the performance needs to be carefully studied. Scheme 2 and 3</w:t>
      </w:r>
      <w:r w:rsidR="009637CA">
        <w:rPr>
          <w:lang w:val="en-GB"/>
        </w:rPr>
        <w:t>.1</w:t>
      </w:r>
      <w:r>
        <w:rPr>
          <w:lang w:val="en-GB"/>
        </w:rPr>
        <w:t xml:space="preserve"> are different by whether </w:t>
      </w:r>
      <w:r w:rsidR="009637CA">
        <w:rPr>
          <w:lang w:val="en-GB"/>
        </w:rPr>
        <w:t>giving</w:t>
      </w:r>
      <w:r>
        <w:rPr>
          <w:lang w:val="en-GB"/>
        </w:rPr>
        <w:t xml:space="preserve"> UE the flexibility to decide</w:t>
      </w:r>
      <w:r w:rsidR="009637CA">
        <w:rPr>
          <w:lang w:val="en-GB"/>
        </w:rPr>
        <w:t xml:space="preserve"> the transmission scheme, while both of them support robust CQI derivation, thus can be considered as good candidates for CSI feedback schemes for TS2.</w:t>
      </w:r>
    </w:p>
    <w:p w14:paraId="57F9CF53" w14:textId="6857EDA5" w:rsidR="00070D2C" w:rsidRPr="00F50A26" w:rsidRDefault="00070D2C" w:rsidP="009637CA">
      <w:pPr>
        <w:jc w:val="both"/>
        <w:rPr>
          <w:b/>
          <w:i/>
          <w:lang w:val="en-GB"/>
        </w:rPr>
      </w:pPr>
      <w:r w:rsidRPr="00F50A26">
        <w:rPr>
          <w:b/>
          <w:i/>
          <w:lang w:val="en-GB"/>
        </w:rPr>
        <w:t xml:space="preserve">Proposal 1: NR considers no PMI feedback as a baseline for TS2. </w:t>
      </w:r>
      <w:r w:rsidR="009637CA" w:rsidRPr="00F50A26">
        <w:rPr>
          <w:b/>
          <w:i/>
          <w:lang w:val="en-GB"/>
        </w:rPr>
        <w:t>The performance benefit of having partial PMI feedback needs to be identified</w:t>
      </w:r>
      <w:r w:rsidRPr="00F50A26">
        <w:rPr>
          <w:b/>
          <w:i/>
          <w:lang w:val="en-GB"/>
        </w:rPr>
        <w:t>.</w:t>
      </w:r>
    </w:p>
    <w:p w14:paraId="1044BF4A" w14:textId="0D0223F1" w:rsidR="009637CA" w:rsidRPr="00F50A26" w:rsidRDefault="009637CA" w:rsidP="009637CA">
      <w:pPr>
        <w:jc w:val="both"/>
        <w:rPr>
          <w:b/>
          <w:i/>
          <w:lang w:val="en-GB"/>
        </w:rPr>
      </w:pPr>
      <w:r w:rsidRPr="00F50A26">
        <w:rPr>
          <w:b/>
          <w:i/>
          <w:lang w:val="en-GB"/>
        </w:rPr>
        <w:t xml:space="preserve">Proposal 2: </w:t>
      </w:r>
      <w:r w:rsidR="00B23C0E">
        <w:rPr>
          <w:b/>
          <w:i/>
          <w:lang w:val="en-GB"/>
        </w:rPr>
        <w:t>F</w:t>
      </w:r>
      <w:r w:rsidRPr="00F50A26">
        <w:rPr>
          <w:b/>
          <w:i/>
          <w:lang w:val="en-GB"/>
        </w:rPr>
        <w:t>ollowing issues can be considered for CQI computation</w:t>
      </w:r>
    </w:p>
    <w:p w14:paraId="21B66BAE" w14:textId="44DF0209" w:rsidR="009637CA" w:rsidRPr="00B23C0E" w:rsidRDefault="009637CA" w:rsidP="00B23C0E">
      <w:pPr>
        <w:numPr>
          <w:ilvl w:val="0"/>
          <w:numId w:val="28"/>
        </w:numPr>
        <w:overflowPunct/>
        <w:autoSpaceDE/>
        <w:autoSpaceDN/>
        <w:adjustRightInd/>
        <w:spacing w:after="0"/>
        <w:jc w:val="both"/>
        <w:textAlignment w:val="auto"/>
        <w:rPr>
          <w:rFonts w:eastAsia="MS Mincho"/>
          <w:b/>
          <w:i/>
          <w:iCs/>
          <w:lang w:eastAsia="ja-JP"/>
        </w:rPr>
      </w:pPr>
      <w:r w:rsidRPr="00B23C0E">
        <w:rPr>
          <w:rFonts w:eastAsia="MS Mincho"/>
          <w:b/>
          <w:i/>
          <w:iCs/>
          <w:lang w:eastAsia="ja-JP"/>
        </w:rPr>
        <w:t>Alt-1: Average CQI based on a all the possible candidate precoders subject to CSR</w:t>
      </w:r>
    </w:p>
    <w:p w14:paraId="2B65649A" w14:textId="0A29997A" w:rsidR="009637CA" w:rsidRPr="00B23C0E" w:rsidRDefault="009637CA" w:rsidP="00B23C0E">
      <w:pPr>
        <w:numPr>
          <w:ilvl w:val="0"/>
          <w:numId w:val="28"/>
        </w:numPr>
        <w:overflowPunct/>
        <w:autoSpaceDE/>
        <w:autoSpaceDN/>
        <w:adjustRightInd/>
        <w:spacing w:after="0"/>
        <w:jc w:val="both"/>
        <w:textAlignment w:val="auto"/>
        <w:rPr>
          <w:rFonts w:eastAsia="MS Mincho"/>
          <w:b/>
          <w:i/>
          <w:iCs/>
          <w:lang w:eastAsia="ja-JP"/>
        </w:rPr>
      </w:pPr>
      <w:r w:rsidRPr="00B23C0E">
        <w:rPr>
          <w:rFonts w:eastAsia="MS Mincho"/>
          <w:b/>
          <w:i/>
          <w:iCs/>
          <w:lang w:eastAsia="ja-JP"/>
        </w:rPr>
        <w:t>Alt-2: CQI associated with specific schemes/cycling pattern</w:t>
      </w:r>
    </w:p>
    <w:p w14:paraId="78F19EF4" w14:textId="08ECC541" w:rsidR="00F50A26" w:rsidRPr="00B23C0E" w:rsidRDefault="00B23C0E" w:rsidP="00B23C0E">
      <w:pPr>
        <w:numPr>
          <w:ilvl w:val="1"/>
          <w:numId w:val="28"/>
        </w:numPr>
        <w:overflowPunct/>
        <w:autoSpaceDE/>
        <w:autoSpaceDN/>
        <w:adjustRightInd/>
        <w:spacing w:after="0"/>
        <w:jc w:val="both"/>
        <w:textAlignment w:val="auto"/>
        <w:rPr>
          <w:rFonts w:eastAsia="MS Mincho"/>
          <w:b/>
          <w:i/>
          <w:iCs/>
          <w:lang w:eastAsia="ja-JP"/>
        </w:rPr>
      </w:pPr>
      <w:r>
        <w:rPr>
          <w:rFonts w:eastAsia="MS Mincho"/>
          <w:b/>
          <w:i/>
          <w:iCs/>
          <w:lang w:eastAsia="ja-JP"/>
        </w:rPr>
        <w:t>S</w:t>
      </w:r>
      <w:r w:rsidR="00F50A26" w:rsidRPr="00B23C0E">
        <w:rPr>
          <w:rFonts w:eastAsia="MS Mincho"/>
          <w:b/>
          <w:i/>
          <w:iCs/>
          <w:lang w:eastAsia="ja-JP"/>
        </w:rPr>
        <w:t>upported by specific-PMI reporting or CSR</w:t>
      </w:r>
    </w:p>
    <w:p w14:paraId="30915760" w14:textId="21610AE1" w:rsidR="005A4F94" w:rsidRPr="00E725B2" w:rsidRDefault="00070D2C" w:rsidP="00070D2C">
      <w:pPr>
        <w:spacing w:before="120" w:after="120"/>
        <w:jc w:val="both"/>
        <w:rPr>
          <w:b/>
          <w:i/>
          <w:lang w:val="en-GB"/>
        </w:rPr>
      </w:pPr>
      <w:r w:rsidRPr="00F50A26">
        <w:rPr>
          <w:b/>
          <w:i/>
          <w:lang w:val="en-GB"/>
        </w:rPr>
        <w:t>P</w:t>
      </w:r>
      <w:r w:rsidR="009637CA" w:rsidRPr="00F50A26">
        <w:rPr>
          <w:b/>
          <w:i/>
          <w:lang w:val="en-GB"/>
        </w:rPr>
        <w:t>roposal 3</w:t>
      </w:r>
      <w:r w:rsidRPr="00F50A26">
        <w:rPr>
          <w:b/>
          <w:i/>
          <w:lang w:val="en-GB"/>
        </w:rPr>
        <w:t>: Companies should provide simulation results on the candidate CQI computation schemes.</w:t>
      </w:r>
      <w:r w:rsidRPr="00F43F7F">
        <w:rPr>
          <w:b/>
          <w:i/>
          <w:lang w:val="en-GB"/>
        </w:rPr>
        <w:t xml:space="preserve"> </w:t>
      </w:r>
    </w:p>
    <w:p w14:paraId="0309A981" w14:textId="77777777" w:rsidR="00070D2C" w:rsidRPr="00183CB7" w:rsidRDefault="00070D2C" w:rsidP="00070D2C">
      <w:pPr>
        <w:pStyle w:val="Heading1"/>
      </w:pPr>
      <w:bookmarkStart w:id="3" w:name="_Ref378529477"/>
      <w:r w:rsidRPr="00183CB7">
        <w:t>Conclusions</w:t>
      </w:r>
    </w:p>
    <w:bookmarkEnd w:id="3"/>
    <w:p w14:paraId="24B87788" w14:textId="77777777" w:rsidR="00070D2C" w:rsidRDefault="00070D2C" w:rsidP="00070D2C">
      <w:pPr>
        <w:spacing w:before="120" w:after="120"/>
        <w:jc w:val="both"/>
      </w:pPr>
      <w:r w:rsidRPr="00DE58DA">
        <w:t xml:space="preserve">In summary, we </w:t>
      </w:r>
      <w:r>
        <w:t>discuss the pros and cons candidate PMI reporting scheme and CQI derivation assumptions.  Based on our discussion, we observe,</w:t>
      </w:r>
    </w:p>
    <w:p w14:paraId="53CE62B1" w14:textId="77777777" w:rsidR="00070D2C" w:rsidRPr="00BF3B32" w:rsidRDefault="00070D2C" w:rsidP="00070D2C">
      <w:pPr>
        <w:spacing w:before="120" w:after="120"/>
        <w:jc w:val="both"/>
        <w:rPr>
          <w:b/>
          <w:i/>
          <w:lang w:val="en-GB"/>
        </w:rPr>
      </w:pPr>
      <w:r w:rsidRPr="00BF3B32">
        <w:rPr>
          <w:b/>
          <w:i/>
          <w:lang w:val="en-GB"/>
        </w:rPr>
        <w:t>Observation 1: the CQI computation method employed in LTE eFD-MIMO may not suffice to provide robust CQI quality because the RE-level co-phase cycling and SFBC are not supported in NR.</w:t>
      </w:r>
    </w:p>
    <w:p w14:paraId="2FACF951" w14:textId="12BD17B4" w:rsidR="00070D2C" w:rsidRDefault="00070D2C" w:rsidP="00070D2C">
      <w:pPr>
        <w:spacing w:before="120" w:after="120"/>
        <w:jc w:val="both"/>
      </w:pPr>
      <w:r>
        <w:t>and w</w:t>
      </w:r>
      <w:r w:rsidRPr="00B55980">
        <w:t>e propose,</w:t>
      </w:r>
    </w:p>
    <w:p w14:paraId="4F5FAB16" w14:textId="77777777" w:rsidR="00F50A26" w:rsidRPr="00F50A26" w:rsidRDefault="00F50A26" w:rsidP="00F50A26">
      <w:pPr>
        <w:jc w:val="both"/>
        <w:rPr>
          <w:b/>
          <w:i/>
          <w:lang w:val="en-GB"/>
        </w:rPr>
      </w:pPr>
      <w:r w:rsidRPr="00F50A26">
        <w:rPr>
          <w:b/>
          <w:i/>
          <w:lang w:val="en-GB"/>
        </w:rPr>
        <w:t>Proposal 1: NR considers no PMI feedback as a baseline for TS2. The performance benefit of having partial PMI feedback needs to be identified.</w:t>
      </w:r>
    </w:p>
    <w:p w14:paraId="243355B1" w14:textId="13715E6F" w:rsidR="00F50A26" w:rsidRDefault="00F50A26" w:rsidP="00F50A26">
      <w:pPr>
        <w:jc w:val="both"/>
        <w:rPr>
          <w:b/>
          <w:i/>
          <w:lang w:val="en-GB"/>
        </w:rPr>
      </w:pPr>
      <w:r w:rsidRPr="00F50A26">
        <w:rPr>
          <w:b/>
          <w:i/>
          <w:lang w:val="en-GB"/>
        </w:rPr>
        <w:t>Proposal 2: CQI computation</w:t>
      </w:r>
      <w:r w:rsidR="00DE09F8">
        <w:rPr>
          <w:b/>
          <w:i/>
          <w:lang w:val="en-GB"/>
        </w:rPr>
        <w:t xml:space="preserve"> associate with CSR or specific-PMI on scheme indication</w:t>
      </w:r>
    </w:p>
    <w:p w14:paraId="7F408949" w14:textId="33F847A6" w:rsidR="00DE09F8" w:rsidRPr="00F50A26" w:rsidRDefault="00DE09F8" w:rsidP="00F50A26">
      <w:pPr>
        <w:jc w:val="both"/>
        <w:rPr>
          <w:b/>
          <w:i/>
          <w:lang w:val="en-GB"/>
        </w:rPr>
      </w:pPr>
      <w:r>
        <w:rPr>
          <w:b/>
          <w:i/>
          <w:lang w:val="en-GB"/>
        </w:rPr>
        <w:t>Proposal 3: Following candidates can be considered for CQI computation</w:t>
      </w:r>
    </w:p>
    <w:p w14:paraId="51BE7372" w14:textId="77777777" w:rsidR="00B23C0E" w:rsidRPr="00B23C0E" w:rsidRDefault="00B23C0E" w:rsidP="00B23C0E">
      <w:pPr>
        <w:numPr>
          <w:ilvl w:val="0"/>
          <w:numId w:val="28"/>
        </w:numPr>
        <w:overflowPunct/>
        <w:autoSpaceDE/>
        <w:autoSpaceDN/>
        <w:adjustRightInd/>
        <w:spacing w:after="0"/>
        <w:jc w:val="both"/>
        <w:textAlignment w:val="auto"/>
        <w:rPr>
          <w:rFonts w:eastAsia="MS Mincho"/>
          <w:b/>
          <w:i/>
          <w:iCs/>
          <w:lang w:eastAsia="ja-JP"/>
        </w:rPr>
      </w:pPr>
      <w:r w:rsidRPr="00B23C0E">
        <w:rPr>
          <w:rFonts w:eastAsia="MS Mincho"/>
          <w:b/>
          <w:i/>
          <w:iCs/>
          <w:lang w:eastAsia="ja-JP"/>
        </w:rPr>
        <w:t>Alt-1: Average CQI based on a all the possible candidate precoders subject to CSR</w:t>
      </w:r>
    </w:p>
    <w:p w14:paraId="125FAB04" w14:textId="77777777" w:rsidR="00B23C0E" w:rsidRPr="00B23C0E" w:rsidRDefault="00B23C0E" w:rsidP="00B23C0E">
      <w:pPr>
        <w:numPr>
          <w:ilvl w:val="0"/>
          <w:numId w:val="28"/>
        </w:numPr>
        <w:overflowPunct/>
        <w:autoSpaceDE/>
        <w:autoSpaceDN/>
        <w:adjustRightInd/>
        <w:spacing w:after="0"/>
        <w:jc w:val="both"/>
        <w:textAlignment w:val="auto"/>
        <w:rPr>
          <w:rFonts w:eastAsia="MS Mincho"/>
          <w:b/>
          <w:i/>
          <w:iCs/>
          <w:lang w:eastAsia="ja-JP"/>
        </w:rPr>
      </w:pPr>
      <w:r w:rsidRPr="00B23C0E">
        <w:rPr>
          <w:rFonts w:eastAsia="MS Mincho"/>
          <w:b/>
          <w:i/>
          <w:iCs/>
          <w:lang w:eastAsia="ja-JP"/>
        </w:rPr>
        <w:t>Alt-2: CQI associated with specific schemes/cycling pattern</w:t>
      </w:r>
    </w:p>
    <w:p w14:paraId="7B43088A" w14:textId="263ED5FD" w:rsidR="00F50A26" w:rsidRPr="00FD239A" w:rsidRDefault="00F50A26" w:rsidP="00070D2C">
      <w:pPr>
        <w:spacing w:before="120" w:after="120"/>
        <w:jc w:val="both"/>
        <w:rPr>
          <w:b/>
          <w:i/>
          <w:lang w:val="en-GB"/>
        </w:rPr>
      </w:pPr>
      <w:r w:rsidRPr="00F50A26">
        <w:rPr>
          <w:b/>
          <w:i/>
          <w:lang w:val="en-GB"/>
        </w:rPr>
        <w:t>Proposal 3: Companies should provide simulation results on the candidate CQI computation schemes.</w:t>
      </w:r>
      <w:r w:rsidRPr="00F43F7F">
        <w:rPr>
          <w:b/>
          <w:i/>
          <w:lang w:val="en-GB"/>
        </w:rPr>
        <w:t xml:space="preserve"> </w:t>
      </w:r>
    </w:p>
    <w:p w14:paraId="1F5ECC13" w14:textId="77777777" w:rsidR="00070D2C" w:rsidRPr="000A64D8" w:rsidRDefault="00070D2C" w:rsidP="00070D2C">
      <w:pPr>
        <w:pStyle w:val="Heading1"/>
        <w:numPr>
          <w:ilvl w:val="0"/>
          <w:numId w:val="0"/>
        </w:numPr>
        <w:ind w:left="432" w:hanging="432"/>
      </w:pPr>
      <w:r w:rsidRPr="000A64D8">
        <w:t>References</w:t>
      </w:r>
    </w:p>
    <w:p w14:paraId="12C7C108" w14:textId="77777777" w:rsidR="00070D2C" w:rsidRPr="00866A47" w:rsidRDefault="00070D2C" w:rsidP="00070D2C">
      <w:pPr>
        <w:pStyle w:val="ListParagraph"/>
        <w:numPr>
          <w:ilvl w:val="0"/>
          <w:numId w:val="2"/>
        </w:numPr>
        <w:spacing w:before="60" w:after="60"/>
        <w:ind w:left="562" w:hanging="562"/>
        <w:rPr>
          <w:rFonts w:ascii="Times New Roman" w:eastAsia="宋体" w:hAnsi="Times New Roman"/>
          <w:sz w:val="20"/>
        </w:rPr>
      </w:pPr>
      <w:bookmarkStart w:id="4" w:name="_Ref450583331"/>
      <w:bookmarkStart w:id="5" w:name="_Ref398626394"/>
      <w:bookmarkStart w:id="6" w:name="_Ref378529497"/>
      <w:bookmarkStart w:id="7" w:name="_Ref370818393"/>
      <w:bookmarkStart w:id="8" w:name="_Ref352001785"/>
      <w:bookmarkStart w:id="9" w:name="_Ref351989238"/>
      <w:bookmarkEnd w:id="4"/>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#89</w:t>
      </w:r>
      <w:r w:rsidRPr="001473CF">
        <w:rPr>
          <w:rFonts w:ascii="Times New Roman" w:eastAsia="宋体" w:hAnsi="Times New Roman"/>
          <w:sz w:val="20"/>
        </w:rPr>
        <w:t>.</w:t>
      </w:r>
      <w:bookmarkEnd w:id="5"/>
      <w:bookmarkEnd w:id="6"/>
      <w:bookmarkEnd w:id="7"/>
      <w:bookmarkEnd w:id="8"/>
      <w:bookmarkEnd w:id="9"/>
      <w:r w:rsidRPr="00866A47">
        <w:rPr>
          <w:rFonts w:ascii="Times New Roman" w:eastAsia="宋体" w:hAnsi="Times New Roman"/>
          <w:sz w:val="20"/>
        </w:rPr>
        <w:t xml:space="preserve"> </w:t>
      </w:r>
    </w:p>
    <w:sectPr w:rsidR="00070D2C" w:rsidRPr="00866A47" w:rsidSect="00876498">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6619F" w14:textId="77777777" w:rsidR="005A2D0D" w:rsidRDefault="005A2D0D">
      <w:r>
        <w:separator/>
      </w:r>
    </w:p>
  </w:endnote>
  <w:endnote w:type="continuationSeparator" w:id="0">
    <w:p w14:paraId="45CD6508" w14:textId="77777777" w:rsidR="005A2D0D" w:rsidRDefault="005A2D0D">
      <w:r>
        <w:continuationSeparator/>
      </w:r>
    </w:p>
  </w:endnote>
  <w:endnote w:type="continuationNotice" w:id="1">
    <w:p w14:paraId="50F564AA" w14:textId="77777777" w:rsidR="005A2D0D" w:rsidRDefault="005A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Office Regular">
    <w:panose1 w:val="020B0503030202060203"/>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818C0" w14:textId="77777777" w:rsidR="00670D55" w:rsidRDefault="00670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670D55" w:rsidRDefault="00670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33F9" w14:textId="4F78193F" w:rsidR="00670D55" w:rsidRDefault="00670D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42B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42BF">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ECABE" w14:textId="77777777" w:rsidR="005A2D0D" w:rsidRDefault="005A2D0D">
      <w:r>
        <w:separator/>
      </w:r>
    </w:p>
  </w:footnote>
  <w:footnote w:type="continuationSeparator" w:id="0">
    <w:p w14:paraId="4B0D1BDD" w14:textId="77777777" w:rsidR="005A2D0D" w:rsidRDefault="005A2D0D">
      <w:r>
        <w:continuationSeparator/>
      </w:r>
    </w:p>
  </w:footnote>
  <w:footnote w:type="continuationNotice" w:id="1">
    <w:p w14:paraId="0B2A3B2F" w14:textId="77777777" w:rsidR="005A2D0D" w:rsidRDefault="005A2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2F48" w14:textId="77777777" w:rsidR="00670D55" w:rsidRDefault="00670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806C8"/>
    <w:multiLevelType w:val="hybridMultilevel"/>
    <w:tmpl w:val="7FEA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3D7959"/>
    <w:multiLevelType w:val="hybridMultilevel"/>
    <w:tmpl w:val="1D6C0D56"/>
    <w:lvl w:ilvl="0" w:tplc="FC68BB02">
      <w:start w:val="1"/>
      <w:numFmt w:val="decimal"/>
      <w:lvlText w:val="%1."/>
      <w:lvlJc w:val="left"/>
      <w:pPr>
        <w:ind w:left="720" w:hanging="360"/>
      </w:pPr>
      <w:rPr>
        <w:rFonts w:ascii="Qualcomm Office Regular" w:hAnsi="Qualcomm Office 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7E5B65"/>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55AB2"/>
    <w:multiLevelType w:val="hybridMultilevel"/>
    <w:tmpl w:val="3894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90CC4"/>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E93E84"/>
    <w:multiLevelType w:val="hybridMultilevel"/>
    <w:tmpl w:val="23420BE4"/>
    <w:lvl w:ilvl="0" w:tplc="819228F2">
      <w:start w:val="1"/>
      <w:numFmt w:val="bullet"/>
      <w:lvlText w:val="•"/>
      <w:lvlJc w:val="left"/>
      <w:pPr>
        <w:tabs>
          <w:tab w:val="num" w:pos="360"/>
        </w:tabs>
        <w:ind w:left="360" w:hanging="360"/>
      </w:pPr>
      <w:rPr>
        <w:rFonts w:ascii="Arial" w:hAnsi="Arial" w:hint="default"/>
      </w:rPr>
    </w:lvl>
    <w:lvl w:ilvl="1" w:tplc="2B60628E">
      <w:start w:val="3155"/>
      <w:numFmt w:val="bullet"/>
      <w:lvlText w:val="–"/>
      <w:lvlJc w:val="left"/>
      <w:pPr>
        <w:tabs>
          <w:tab w:val="num" w:pos="1080"/>
        </w:tabs>
        <w:ind w:left="1080" w:hanging="360"/>
      </w:pPr>
      <w:rPr>
        <w:rFonts w:ascii="Arial" w:hAnsi="Arial" w:hint="default"/>
      </w:rPr>
    </w:lvl>
    <w:lvl w:ilvl="2" w:tplc="767C16EA">
      <w:start w:val="1"/>
      <w:numFmt w:val="bullet"/>
      <w:lvlText w:val="•"/>
      <w:lvlJc w:val="left"/>
      <w:pPr>
        <w:tabs>
          <w:tab w:val="num" w:pos="1800"/>
        </w:tabs>
        <w:ind w:left="1800" w:hanging="360"/>
      </w:pPr>
      <w:rPr>
        <w:rFonts w:ascii="Arial" w:hAnsi="Arial" w:hint="default"/>
      </w:rPr>
    </w:lvl>
    <w:lvl w:ilvl="3" w:tplc="783CFA32">
      <w:start w:val="1"/>
      <w:numFmt w:val="bullet"/>
      <w:lvlText w:val="•"/>
      <w:lvlJc w:val="left"/>
      <w:pPr>
        <w:tabs>
          <w:tab w:val="num" w:pos="2520"/>
        </w:tabs>
        <w:ind w:left="2520" w:hanging="360"/>
      </w:pPr>
      <w:rPr>
        <w:rFonts w:ascii="Arial" w:hAnsi="Arial" w:hint="default"/>
      </w:rPr>
    </w:lvl>
    <w:lvl w:ilvl="4" w:tplc="DF18443A">
      <w:start w:val="1"/>
      <w:numFmt w:val="bullet"/>
      <w:lvlText w:val="•"/>
      <w:lvlJc w:val="left"/>
      <w:pPr>
        <w:tabs>
          <w:tab w:val="num" w:pos="3240"/>
        </w:tabs>
        <w:ind w:left="3240" w:hanging="360"/>
      </w:pPr>
      <w:rPr>
        <w:rFonts w:ascii="Arial" w:hAnsi="Arial" w:hint="default"/>
      </w:rPr>
    </w:lvl>
    <w:lvl w:ilvl="5" w:tplc="D29C5EA0">
      <w:start w:val="1"/>
      <w:numFmt w:val="bullet"/>
      <w:lvlText w:val="•"/>
      <w:lvlJc w:val="left"/>
      <w:pPr>
        <w:tabs>
          <w:tab w:val="num" w:pos="3960"/>
        </w:tabs>
        <w:ind w:left="3960" w:hanging="360"/>
      </w:pPr>
      <w:rPr>
        <w:rFonts w:ascii="Arial" w:hAnsi="Arial" w:hint="default"/>
      </w:rPr>
    </w:lvl>
    <w:lvl w:ilvl="6" w:tplc="BF3E3578" w:tentative="1">
      <w:start w:val="1"/>
      <w:numFmt w:val="bullet"/>
      <w:lvlText w:val="•"/>
      <w:lvlJc w:val="left"/>
      <w:pPr>
        <w:tabs>
          <w:tab w:val="num" w:pos="4680"/>
        </w:tabs>
        <w:ind w:left="4680" w:hanging="360"/>
      </w:pPr>
      <w:rPr>
        <w:rFonts w:ascii="Arial" w:hAnsi="Arial" w:hint="default"/>
      </w:rPr>
    </w:lvl>
    <w:lvl w:ilvl="7" w:tplc="BB02C4FE" w:tentative="1">
      <w:start w:val="1"/>
      <w:numFmt w:val="bullet"/>
      <w:lvlText w:val="•"/>
      <w:lvlJc w:val="left"/>
      <w:pPr>
        <w:tabs>
          <w:tab w:val="num" w:pos="5400"/>
        </w:tabs>
        <w:ind w:left="5400" w:hanging="360"/>
      </w:pPr>
      <w:rPr>
        <w:rFonts w:ascii="Arial" w:hAnsi="Arial" w:hint="default"/>
      </w:rPr>
    </w:lvl>
    <w:lvl w:ilvl="8" w:tplc="FB3272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066B53"/>
    <w:multiLevelType w:val="hybridMultilevel"/>
    <w:tmpl w:val="470E487E"/>
    <w:lvl w:ilvl="0" w:tplc="8E46887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645941"/>
    <w:multiLevelType w:val="hybridMultilevel"/>
    <w:tmpl w:val="7DD0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
  </w:num>
  <w:num w:numId="5">
    <w:abstractNumId w:val="17"/>
  </w:num>
  <w:num w:numId="6">
    <w:abstractNumId w:val="4"/>
  </w:num>
  <w:num w:numId="7">
    <w:abstractNumId w:val="22"/>
  </w:num>
  <w:num w:numId="8">
    <w:abstractNumId w:val="10"/>
  </w:num>
  <w:num w:numId="9">
    <w:abstractNumId w:val="21"/>
  </w:num>
  <w:num w:numId="10">
    <w:abstractNumId w:val="18"/>
  </w:num>
  <w:num w:numId="11">
    <w:abstractNumId w:val="13"/>
  </w:num>
  <w:num w:numId="12">
    <w:abstractNumId w:val="4"/>
  </w:num>
  <w:num w:numId="13">
    <w:abstractNumId w:val="16"/>
  </w:num>
  <w:num w:numId="14">
    <w:abstractNumId w:val="14"/>
  </w:num>
  <w:num w:numId="15">
    <w:abstractNumId w:val="2"/>
  </w:num>
  <w:num w:numId="16">
    <w:abstractNumId w:val="5"/>
  </w:num>
  <w:num w:numId="17">
    <w:abstractNumId w:val="6"/>
  </w:num>
  <w:num w:numId="18">
    <w:abstractNumId w:val="20"/>
  </w:num>
  <w:num w:numId="19">
    <w:abstractNumId w:val="19"/>
  </w:num>
  <w:num w:numId="20">
    <w:abstractNumId w:val="4"/>
  </w:num>
  <w:num w:numId="21">
    <w:abstractNumId w:val="15"/>
  </w:num>
  <w:num w:numId="22">
    <w:abstractNumId w:val="4"/>
  </w:num>
  <w:num w:numId="23">
    <w:abstractNumId w:val="12"/>
  </w:num>
  <w:num w:numId="24">
    <w:abstractNumId w:val="8"/>
  </w:num>
  <w:num w:numId="25">
    <w:abstractNumId w:val="4"/>
  </w:num>
  <w:num w:numId="26">
    <w:abstractNumId w:val="4"/>
  </w:num>
  <w:num w:numId="27">
    <w:abstractNumId w:val="4"/>
  </w:num>
  <w:num w:numId="28">
    <w:abstractNumId w:val="3"/>
  </w:num>
  <w:num w:numId="29">
    <w:abstractNumId w:val="11"/>
  </w:num>
  <w:num w:numId="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959"/>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12"/>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3C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B8"/>
    <w:rsid w:val="000505E0"/>
    <w:rsid w:val="00051135"/>
    <w:rsid w:val="000515F7"/>
    <w:rsid w:val="0005201C"/>
    <w:rsid w:val="0005241E"/>
    <w:rsid w:val="0005291A"/>
    <w:rsid w:val="00052AE3"/>
    <w:rsid w:val="000531A8"/>
    <w:rsid w:val="000532C1"/>
    <w:rsid w:val="00053849"/>
    <w:rsid w:val="00053A47"/>
    <w:rsid w:val="00053C3D"/>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7B"/>
    <w:rsid w:val="00063F57"/>
    <w:rsid w:val="0006480B"/>
    <w:rsid w:val="00064A2B"/>
    <w:rsid w:val="00064B46"/>
    <w:rsid w:val="00065016"/>
    <w:rsid w:val="00065031"/>
    <w:rsid w:val="0006549C"/>
    <w:rsid w:val="000659DD"/>
    <w:rsid w:val="00065D64"/>
    <w:rsid w:val="000667D1"/>
    <w:rsid w:val="00066976"/>
    <w:rsid w:val="00067087"/>
    <w:rsid w:val="00067089"/>
    <w:rsid w:val="0006739D"/>
    <w:rsid w:val="0006777C"/>
    <w:rsid w:val="00067B55"/>
    <w:rsid w:val="00067FE2"/>
    <w:rsid w:val="00070134"/>
    <w:rsid w:val="00070192"/>
    <w:rsid w:val="00070D2C"/>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0F94"/>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5C8"/>
    <w:rsid w:val="000968D8"/>
    <w:rsid w:val="0009709B"/>
    <w:rsid w:val="000970D0"/>
    <w:rsid w:val="0009720E"/>
    <w:rsid w:val="000979F0"/>
    <w:rsid w:val="00097AE8"/>
    <w:rsid w:val="00097B69"/>
    <w:rsid w:val="000A02DC"/>
    <w:rsid w:val="000A09A2"/>
    <w:rsid w:val="000A0CA1"/>
    <w:rsid w:val="000A0DD2"/>
    <w:rsid w:val="000A0E99"/>
    <w:rsid w:val="000A17FE"/>
    <w:rsid w:val="000A1AD3"/>
    <w:rsid w:val="000A1D49"/>
    <w:rsid w:val="000A1F36"/>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0BC4"/>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2E56"/>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86"/>
    <w:rsid w:val="000D6E27"/>
    <w:rsid w:val="000D6E96"/>
    <w:rsid w:val="000D7268"/>
    <w:rsid w:val="000D7783"/>
    <w:rsid w:val="000D7F64"/>
    <w:rsid w:val="000E011D"/>
    <w:rsid w:val="000E03CF"/>
    <w:rsid w:val="000E0B28"/>
    <w:rsid w:val="000E0D89"/>
    <w:rsid w:val="000E0E58"/>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6FF1"/>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B2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3C34"/>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4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655"/>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4356"/>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1A3E"/>
    <w:rsid w:val="00152066"/>
    <w:rsid w:val="00152559"/>
    <w:rsid w:val="00152A3B"/>
    <w:rsid w:val="00152AC8"/>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02A"/>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02C"/>
    <w:rsid w:val="00183298"/>
    <w:rsid w:val="001835DE"/>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4E85"/>
    <w:rsid w:val="0019573B"/>
    <w:rsid w:val="0019592C"/>
    <w:rsid w:val="00196085"/>
    <w:rsid w:val="001960C0"/>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0BCD"/>
    <w:rsid w:val="001C16A9"/>
    <w:rsid w:val="001C19EB"/>
    <w:rsid w:val="001C1E53"/>
    <w:rsid w:val="001C211D"/>
    <w:rsid w:val="001C2A8B"/>
    <w:rsid w:val="001C3434"/>
    <w:rsid w:val="001C3474"/>
    <w:rsid w:val="001C3DC6"/>
    <w:rsid w:val="001C3E02"/>
    <w:rsid w:val="001C48E5"/>
    <w:rsid w:val="001C4A39"/>
    <w:rsid w:val="001C4F5F"/>
    <w:rsid w:val="001C50A2"/>
    <w:rsid w:val="001C54B8"/>
    <w:rsid w:val="001C589B"/>
    <w:rsid w:val="001C58A6"/>
    <w:rsid w:val="001C5BC8"/>
    <w:rsid w:val="001C5DBB"/>
    <w:rsid w:val="001C5F88"/>
    <w:rsid w:val="001C6065"/>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79E"/>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61F"/>
    <w:rsid w:val="001E7A8F"/>
    <w:rsid w:val="001F020C"/>
    <w:rsid w:val="001F0546"/>
    <w:rsid w:val="001F0DDF"/>
    <w:rsid w:val="001F18E2"/>
    <w:rsid w:val="001F1B1E"/>
    <w:rsid w:val="001F1BEA"/>
    <w:rsid w:val="001F1DFA"/>
    <w:rsid w:val="001F1E26"/>
    <w:rsid w:val="001F22A9"/>
    <w:rsid w:val="001F23CD"/>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8E2"/>
    <w:rsid w:val="00214E0D"/>
    <w:rsid w:val="0021512E"/>
    <w:rsid w:val="0021586D"/>
    <w:rsid w:val="00215D76"/>
    <w:rsid w:val="002162EA"/>
    <w:rsid w:val="002165F9"/>
    <w:rsid w:val="00216685"/>
    <w:rsid w:val="00216872"/>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448"/>
    <w:rsid w:val="00223833"/>
    <w:rsid w:val="00223ACD"/>
    <w:rsid w:val="00224A38"/>
    <w:rsid w:val="00224A9B"/>
    <w:rsid w:val="0022657F"/>
    <w:rsid w:val="002269A7"/>
    <w:rsid w:val="00226A52"/>
    <w:rsid w:val="00226AE0"/>
    <w:rsid w:val="00226BD3"/>
    <w:rsid w:val="0022721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CF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12"/>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B3"/>
    <w:rsid w:val="002631DC"/>
    <w:rsid w:val="0026382D"/>
    <w:rsid w:val="0026385F"/>
    <w:rsid w:val="00263DD9"/>
    <w:rsid w:val="00264256"/>
    <w:rsid w:val="0026432F"/>
    <w:rsid w:val="0026455A"/>
    <w:rsid w:val="0026460B"/>
    <w:rsid w:val="0026468A"/>
    <w:rsid w:val="00264C28"/>
    <w:rsid w:val="00265420"/>
    <w:rsid w:val="002654D9"/>
    <w:rsid w:val="00265701"/>
    <w:rsid w:val="002657D6"/>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028"/>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05"/>
    <w:rsid w:val="002944CA"/>
    <w:rsid w:val="00294504"/>
    <w:rsid w:val="00294722"/>
    <w:rsid w:val="00294AB1"/>
    <w:rsid w:val="00294C8C"/>
    <w:rsid w:val="00295226"/>
    <w:rsid w:val="002953D0"/>
    <w:rsid w:val="00295CFD"/>
    <w:rsid w:val="00295F1C"/>
    <w:rsid w:val="002960D8"/>
    <w:rsid w:val="00296285"/>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5FF"/>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82D"/>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55CA"/>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856"/>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647"/>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5ECC"/>
    <w:rsid w:val="00336780"/>
    <w:rsid w:val="003367C5"/>
    <w:rsid w:val="00336BFA"/>
    <w:rsid w:val="00336DAD"/>
    <w:rsid w:val="00336DB3"/>
    <w:rsid w:val="00337065"/>
    <w:rsid w:val="00337C71"/>
    <w:rsid w:val="00340CC6"/>
    <w:rsid w:val="00340E58"/>
    <w:rsid w:val="00341087"/>
    <w:rsid w:val="00341706"/>
    <w:rsid w:val="0034246D"/>
    <w:rsid w:val="0034272A"/>
    <w:rsid w:val="0034305B"/>
    <w:rsid w:val="00343C24"/>
    <w:rsid w:val="00343FA6"/>
    <w:rsid w:val="00344566"/>
    <w:rsid w:val="0034467D"/>
    <w:rsid w:val="00344725"/>
    <w:rsid w:val="00344901"/>
    <w:rsid w:val="0034511B"/>
    <w:rsid w:val="00345B07"/>
    <w:rsid w:val="00345D1C"/>
    <w:rsid w:val="0034696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F1"/>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948"/>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9E7"/>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9F"/>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867"/>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3AF"/>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022"/>
    <w:rsid w:val="003D519A"/>
    <w:rsid w:val="003D5717"/>
    <w:rsid w:val="003D5878"/>
    <w:rsid w:val="003D59FE"/>
    <w:rsid w:val="003D63BA"/>
    <w:rsid w:val="003D680E"/>
    <w:rsid w:val="003D69ED"/>
    <w:rsid w:val="003D6B43"/>
    <w:rsid w:val="003D6D66"/>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00"/>
    <w:rsid w:val="003E4B1F"/>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95A"/>
    <w:rsid w:val="003F1B6D"/>
    <w:rsid w:val="003F1C93"/>
    <w:rsid w:val="003F1E48"/>
    <w:rsid w:val="003F20B0"/>
    <w:rsid w:val="003F20E2"/>
    <w:rsid w:val="003F2244"/>
    <w:rsid w:val="003F23A7"/>
    <w:rsid w:val="003F2564"/>
    <w:rsid w:val="003F2624"/>
    <w:rsid w:val="003F2711"/>
    <w:rsid w:val="003F2A56"/>
    <w:rsid w:val="003F2B33"/>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D02"/>
    <w:rsid w:val="004222BF"/>
    <w:rsid w:val="004228DD"/>
    <w:rsid w:val="00422A01"/>
    <w:rsid w:val="00422D62"/>
    <w:rsid w:val="00422DB5"/>
    <w:rsid w:val="004232D4"/>
    <w:rsid w:val="00423326"/>
    <w:rsid w:val="004240C9"/>
    <w:rsid w:val="00424349"/>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5ED"/>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11E"/>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1F0E"/>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9D7"/>
    <w:rsid w:val="004A7EE7"/>
    <w:rsid w:val="004A7FB0"/>
    <w:rsid w:val="004B0706"/>
    <w:rsid w:val="004B0780"/>
    <w:rsid w:val="004B0787"/>
    <w:rsid w:val="004B1313"/>
    <w:rsid w:val="004B169E"/>
    <w:rsid w:val="004B19BB"/>
    <w:rsid w:val="004B1C42"/>
    <w:rsid w:val="004B2700"/>
    <w:rsid w:val="004B2B31"/>
    <w:rsid w:val="004B2C33"/>
    <w:rsid w:val="004B2CDB"/>
    <w:rsid w:val="004B2D59"/>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73C"/>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D06"/>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CD0"/>
    <w:rsid w:val="004E1D07"/>
    <w:rsid w:val="004E209D"/>
    <w:rsid w:val="004E21D3"/>
    <w:rsid w:val="004E2A2E"/>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C35"/>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1E9D"/>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40"/>
    <w:rsid w:val="005766EA"/>
    <w:rsid w:val="00576A37"/>
    <w:rsid w:val="00577368"/>
    <w:rsid w:val="005773FF"/>
    <w:rsid w:val="00577540"/>
    <w:rsid w:val="005777AC"/>
    <w:rsid w:val="00577EB4"/>
    <w:rsid w:val="00581081"/>
    <w:rsid w:val="00581258"/>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2D0D"/>
    <w:rsid w:val="005A320D"/>
    <w:rsid w:val="005A36E3"/>
    <w:rsid w:val="005A3A31"/>
    <w:rsid w:val="005A3BF4"/>
    <w:rsid w:val="005A416C"/>
    <w:rsid w:val="005A4F94"/>
    <w:rsid w:val="005A52B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63B"/>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2B3"/>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CA9"/>
    <w:rsid w:val="005D5E46"/>
    <w:rsid w:val="005D609E"/>
    <w:rsid w:val="005D64A5"/>
    <w:rsid w:val="005D6929"/>
    <w:rsid w:val="005D6B30"/>
    <w:rsid w:val="005D6E1C"/>
    <w:rsid w:val="005D7539"/>
    <w:rsid w:val="005D785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0C5"/>
    <w:rsid w:val="005E7698"/>
    <w:rsid w:val="005E7849"/>
    <w:rsid w:val="005E7A8C"/>
    <w:rsid w:val="005F06FA"/>
    <w:rsid w:val="005F06FD"/>
    <w:rsid w:val="005F0B4C"/>
    <w:rsid w:val="005F0B53"/>
    <w:rsid w:val="005F0C46"/>
    <w:rsid w:val="005F142B"/>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4D66"/>
    <w:rsid w:val="00605399"/>
    <w:rsid w:val="006054EE"/>
    <w:rsid w:val="0060591D"/>
    <w:rsid w:val="00605967"/>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0E"/>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52C"/>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0EC"/>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D55"/>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694"/>
    <w:rsid w:val="00680A97"/>
    <w:rsid w:val="00680F30"/>
    <w:rsid w:val="00680F81"/>
    <w:rsid w:val="0068102D"/>
    <w:rsid w:val="00681D39"/>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4A3"/>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342"/>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82"/>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5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92B"/>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B"/>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706"/>
    <w:rsid w:val="00732885"/>
    <w:rsid w:val="00733858"/>
    <w:rsid w:val="00733A80"/>
    <w:rsid w:val="0073445B"/>
    <w:rsid w:val="0073497A"/>
    <w:rsid w:val="0073532A"/>
    <w:rsid w:val="007357C6"/>
    <w:rsid w:val="00735EAF"/>
    <w:rsid w:val="0073637C"/>
    <w:rsid w:val="00736886"/>
    <w:rsid w:val="00736A35"/>
    <w:rsid w:val="00736D7B"/>
    <w:rsid w:val="007373DD"/>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120"/>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831"/>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4B9B"/>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E9"/>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620"/>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7B4"/>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3C85"/>
    <w:rsid w:val="007E4588"/>
    <w:rsid w:val="007E48CD"/>
    <w:rsid w:val="007E48E4"/>
    <w:rsid w:val="007E531F"/>
    <w:rsid w:val="007E5D16"/>
    <w:rsid w:val="007E5FFD"/>
    <w:rsid w:val="007E6239"/>
    <w:rsid w:val="007E6586"/>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4883"/>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8B5"/>
    <w:rsid w:val="00806979"/>
    <w:rsid w:val="0080699F"/>
    <w:rsid w:val="00806BEC"/>
    <w:rsid w:val="00806D29"/>
    <w:rsid w:val="00806F5E"/>
    <w:rsid w:val="00807365"/>
    <w:rsid w:val="0080770D"/>
    <w:rsid w:val="00807D28"/>
    <w:rsid w:val="00807D5E"/>
    <w:rsid w:val="00807E1B"/>
    <w:rsid w:val="008100D3"/>
    <w:rsid w:val="0081012C"/>
    <w:rsid w:val="00810AF5"/>
    <w:rsid w:val="00810DE9"/>
    <w:rsid w:val="00810EAE"/>
    <w:rsid w:val="00811036"/>
    <w:rsid w:val="008116BE"/>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7C8"/>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B0"/>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3FDA"/>
    <w:rsid w:val="00864A9F"/>
    <w:rsid w:val="00864C02"/>
    <w:rsid w:val="008650AB"/>
    <w:rsid w:val="00865696"/>
    <w:rsid w:val="00865D02"/>
    <w:rsid w:val="00865D4C"/>
    <w:rsid w:val="00865DE1"/>
    <w:rsid w:val="00866A47"/>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498"/>
    <w:rsid w:val="00876512"/>
    <w:rsid w:val="00876AC7"/>
    <w:rsid w:val="0087763F"/>
    <w:rsid w:val="00877C45"/>
    <w:rsid w:val="00877C57"/>
    <w:rsid w:val="00877FA3"/>
    <w:rsid w:val="008804C9"/>
    <w:rsid w:val="00880D84"/>
    <w:rsid w:val="008810DF"/>
    <w:rsid w:val="008810FA"/>
    <w:rsid w:val="00881842"/>
    <w:rsid w:val="00881F28"/>
    <w:rsid w:val="008829DC"/>
    <w:rsid w:val="00882BB1"/>
    <w:rsid w:val="00882FB0"/>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C6"/>
    <w:rsid w:val="008B01A2"/>
    <w:rsid w:val="008B07C2"/>
    <w:rsid w:val="008B097E"/>
    <w:rsid w:val="008B0CD0"/>
    <w:rsid w:val="008B0F9B"/>
    <w:rsid w:val="008B130E"/>
    <w:rsid w:val="008B1651"/>
    <w:rsid w:val="008B175A"/>
    <w:rsid w:val="008B182D"/>
    <w:rsid w:val="008B18CE"/>
    <w:rsid w:val="008B1FB5"/>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026"/>
    <w:rsid w:val="008C6970"/>
    <w:rsid w:val="008C6B8A"/>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A2"/>
    <w:rsid w:val="008D1E23"/>
    <w:rsid w:val="008D2209"/>
    <w:rsid w:val="008D2461"/>
    <w:rsid w:val="008D2BDE"/>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892"/>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5A57"/>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675"/>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32B"/>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7CA"/>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046"/>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DD"/>
    <w:rsid w:val="009B1823"/>
    <w:rsid w:val="009B2E47"/>
    <w:rsid w:val="009B3685"/>
    <w:rsid w:val="009B3745"/>
    <w:rsid w:val="009B3C79"/>
    <w:rsid w:val="009B3D47"/>
    <w:rsid w:val="009B4250"/>
    <w:rsid w:val="009B4724"/>
    <w:rsid w:val="009B4821"/>
    <w:rsid w:val="009B4C1C"/>
    <w:rsid w:val="009B4C24"/>
    <w:rsid w:val="009B5821"/>
    <w:rsid w:val="009B6395"/>
    <w:rsid w:val="009B64CF"/>
    <w:rsid w:val="009B6E27"/>
    <w:rsid w:val="009B6E67"/>
    <w:rsid w:val="009B70E9"/>
    <w:rsid w:val="009B7564"/>
    <w:rsid w:val="009B7BB7"/>
    <w:rsid w:val="009B7ECC"/>
    <w:rsid w:val="009B7FFA"/>
    <w:rsid w:val="009C00EF"/>
    <w:rsid w:val="009C0BC1"/>
    <w:rsid w:val="009C0DBE"/>
    <w:rsid w:val="009C155F"/>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622"/>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CA1"/>
    <w:rsid w:val="00A02D52"/>
    <w:rsid w:val="00A02FBC"/>
    <w:rsid w:val="00A03A1D"/>
    <w:rsid w:val="00A043B9"/>
    <w:rsid w:val="00A04541"/>
    <w:rsid w:val="00A04A92"/>
    <w:rsid w:val="00A04DB3"/>
    <w:rsid w:val="00A04E65"/>
    <w:rsid w:val="00A051D9"/>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A61"/>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2EF"/>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4B"/>
    <w:rsid w:val="00A35A0B"/>
    <w:rsid w:val="00A35BD0"/>
    <w:rsid w:val="00A362CB"/>
    <w:rsid w:val="00A363A5"/>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68D"/>
    <w:rsid w:val="00A57BD6"/>
    <w:rsid w:val="00A57F96"/>
    <w:rsid w:val="00A604C4"/>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CE6"/>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44A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B22"/>
    <w:rsid w:val="00AC7DE9"/>
    <w:rsid w:val="00AD12BD"/>
    <w:rsid w:val="00AD163D"/>
    <w:rsid w:val="00AD1860"/>
    <w:rsid w:val="00AD1B21"/>
    <w:rsid w:val="00AD1DFE"/>
    <w:rsid w:val="00AD1F06"/>
    <w:rsid w:val="00AD219B"/>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D7EE0"/>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47F1"/>
    <w:rsid w:val="00B14FF8"/>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0E"/>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536"/>
    <w:rsid w:val="00B42879"/>
    <w:rsid w:val="00B430D3"/>
    <w:rsid w:val="00B430DF"/>
    <w:rsid w:val="00B437BD"/>
    <w:rsid w:val="00B43985"/>
    <w:rsid w:val="00B439FA"/>
    <w:rsid w:val="00B43D4D"/>
    <w:rsid w:val="00B440CF"/>
    <w:rsid w:val="00B4418B"/>
    <w:rsid w:val="00B443C5"/>
    <w:rsid w:val="00B4485B"/>
    <w:rsid w:val="00B45A61"/>
    <w:rsid w:val="00B45AC0"/>
    <w:rsid w:val="00B46212"/>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449"/>
    <w:rsid w:val="00B5370C"/>
    <w:rsid w:val="00B53EF5"/>
    <w:rsid w:val="00B542BA"/>
    <w:rsid w:val="00B54989"/>
    <w:rsid w:val="00B54CC5"/>
    <w:rsid w:val="00B553CF"/>
    <w:rsid w:val="00B555B8"/>
    <w:rsid w:val="00B55980"/>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6BA"/>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0D8"/>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B46"/>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2BF"/>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5F52"/>
    <w:rsid w:val="00BE6497"/>
    <w:rsid w:val="00BE65B3"/>
    <w:rsid w:val="00BE68B9"/>
    <w:rsid w:val="00BE7265"/>
    <w:rsid w:val="00BE76E2"/>
    <w:rsid w:val="00BE7B27"/>
    <w:rsid w:val="00BF02E6"/>
    <w:rsid w:val="00BF0A66"/>
    <w:rsid w:val="00BF10D2"/>
    <w:rsid w:val="00BF10D6"/>
    <w:rsid w:val="00BF120B"/>
    <w:rsid w:val="00BF1309"/>
    <w:rsid w:val="00BF176D"/>
    <w:rsid w:val="00BF18B9"/>
    <w:rsid w:val="00BF1B70"/>
    <w:rsid w:val="00BF220D"/>
    <w:rsid w:val="00BF2817"/>
    <w:rsid w:val="00BF2C65"/>
    <w:rsid w:val="00BF31CB"/>
    <w:rsid w:val="00BF3AE6"/>
    <w:rsid w:val="00BF3B32"/>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816"/>
    <w:rsid w:val="00C11C33"/>
    <w:rsid w:val="00C11C73"/>
    <w:rsid w:val="00C11FE5"/>
    <w:rsid w:val="00C11FF6"/>
    <w:rsid w:val="00C12068"/>
    <w:rsid w:val="00C12EB5"/>
    <w:rsid w:val="00C1328A"/>
    <w:rsid w:val="00C13504"/>
    <w:rsid w:val="00C13C8A"/>
    <w:rsid w:val="00C13EAE"/>
    <w:rsid w:val="00C13F22"/>
    <w:rsid w:val="00C140FE"/>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A0"/>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5DC9"/>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590"/>
    <w:rsid w:val="00C42784"/>
    <w:rsid w:val="00C429E1"/>
    <w:rsid w:val="00C439F0"/>
    <w:rsid w:val="00C43CE7"/>
    <w:rsid w:val="00C44189"/>
    <w:rsid w:val="00C447FB"/>
    <w:rsid w:val="00C44F96"/>
    <w:rsid w:val="00C44FF2"/>
    <w:rsid w:val="00C4537A"/>
    <w:rsid w:val="00C4587D"/>
    <w:rsid w:val="00C45C66"/>
    <w:rsid w:val="00C46B24"/>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713"/>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24E"/>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E54"/>
    <w:rsid w:val="00CA09AA"/>
    <w:rsid w:val="00CA0D78"/>
    <w:rsid w:val="00CA0FCC"/>
    <w:rsid w:val="00CA114D"/>
    <w:rsid w:val="00CA1225"/>
    <w:rsid w:val="00CA15D0"/>
    <w:rsid w:val="00CA18D2"/>
    <w:rsid w:val="00CA2919"/>
    <w:rsid w:val="00CA2C56"/>
    <w:rsid w:val="00CA3FD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80"/>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0B5C"/>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97"/>
    <w:rsid w:val="00D02716"/>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9F8"/>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47A"/>
    <w:rsid w:val="00D14BAB"/>
    <w:rsid w:val="00D1552A"/>
    <w:rsid w:val="00D1582F"/>
    <w:rsid w:val="00D15D9D"/>
    <w:rsid w:val="00D1624D"/>
    <w:rsid w:val="00D17869"/>
    <w:rsid w:val="00D1792B"/>
    <w:rsid w:val="00D17F37"/>
    <w:rsid w:val="00D202D3"/>
    <w:rsid w:val="00D20A4C"/>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9F0"/>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9F"/>
    <w:rsid w:val="00D43E86"/>
    <w:rsid w:val="00D4429F"/>
    <w:rsid w:val="00D44346"/>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23B"/>
    <w:rsid w:val="00D74461"/>
    <w:rsid w:val="00D74AF7"/>
    <w:rsid w:val="00D7505F"/>
    <w:rsid w:val="00D75199"/>
    <w:rsid w:val="00D75277"/>
    <w:rsid w:val="00D75843"/>
    <w:rsid w:val="00D758A1"/>
    <w:rsid w:val="00D75928"/>
    <w:rsid w:val="00D75E85"/>
    <w:rsid w:val="00D75F68"/>
    <w:rsid w:val="00D7643F"/>
    <w:rsid w:val="00D76682"/>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1A"/>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C00"/>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43E"/>
    <w:rsid w:val="00DB1539"/>
    <w:rsid w:val="00DB1F98"/>
    <w:rsid w:val="00DB27E1"/>
    <w:rsid w:val="00DB2CDC"/>
    <w:rsid w:val="00DB2CF9"/>
    <w:rsid w:val="00DB2F94"/>
    <w:rsid w:val="00DB2FDC"/>
    <w:rsid w:val="00DB35C7"/>
    <w:rsid w:val="00DB3719"/>
    <w:rsid w:val="00DB38E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9F8"/>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D22"/>
    <w:rsid w:val="00E05FC4"/>
    <w:rsid w:val="00E06977"/>
    <w:rsid w:val="00E06AF4"/>
    <w:rsid w:val="00E073C8"/>
    <w:rsid w:val="00E07686"/>
    <w:rsid w:val="00E07E45"/>
    <w:rsid w:val="00E1007C"/>
    <w:rsid w:val="00E101F9"/>
    <w:rsid w:val="00E102BD"/>
    <w:rsid w:val="00E1039D"/>
    <w:rsid w:val="00E103F8"/>
    <w:rsid w:val="00E10631"/>
    <w:rsid w:val="00E11954"/>
    <w:rsid w:val="00E11EB8"/>
    <w:rsid w:val="00E1273A"/>
    <w:rsid w:val="00E12933"/>
    <w:rsid w:val="00E12A5A"/>
    <w:rsid w:val="00E12AF0"/>
    <w:rsid w:val="00E136AE"/>
    <w:rsid w:val="00E139D0"/>
    <w:rsid w:val="00E143F1"/>
    <w:rsid w:val="00E144B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FA1"/>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75F"/>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1DCF"/>
    <w:rsid w:val="00E3200D"/>
    <w:rsid w:val="00E32E0E"/>
    <w:rsid w:val="00E3305B"/>
    <w:rsid w:val="00E332B5"/>
    <w:rsid w:val="00E33506"/>
    <w:rsid w:val="00E33708"/>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0D9"/>
    <w:rsid w:val="00E523F3"/>
    <w:rsid w:val="00E5242F"/>
    <w:rsid w:val="00E529B8"/>
    <w:rsid w:val="00E52F76"/>
    <w:rsid w:val="00E52FE7"/>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3EED"/>
    <w:rsid w:val="00E642EF"/>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5B2"/>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798"/>
    <w:rsid w:val="00EA0BD3"/>
    <w:rsid w:val="00EA0BFA"/>
    <w:rsid w:val="00EA0C80"/>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611"/>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B08"/>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37E"/>
    <w:rsid w:val="00EC36DD"/>
    <w:rsid w:val="00EC3E81"/>
    <w:rsid w:val="00EC3EC8"/>
    <w:rsid w:val="00EC44E7"/>
    <w:rsid w:val="00EC4D77"/>
    <w:rsid w:val="00EC4D7B"/>
    <w:rsid w:val="00EC4E2E"/>
    <w:rsid w:val="00EC519C"/>
    <w:rsid w:val="00EC555C"/>
    <w:rsid w:val="00EC5B60"/>
    <w:rsid w:val="00EC60A1"/>
    <w:rsid w:val="00EC614D"/>
    <w:rsid w:val="00EC6337"/>
    <w:rsid w:val="00EC6D68"/>
    <w:rsid w:val="00EC6D82"/>
    <w:rsid w:val="00EC7183"/>
    <w:rsid w:val="00EC71AB"/>
    <w:rsid w:val="00EC7EE8"/>
    <w:rsid w:val="00ED097A"/>
    <w:rsid w:val="00ED0DE8"/>
    <w:rsid w:val="00ED0EB9"/>
    <w:rsid w:val="00ED1A21"/>
    <w:rsid w:val="00ED1A39"/>
    <w:rsid w:val="00ED1CD6"/>
    <w:rsid w:val="00ED2168"/>
    <w:rsid w:val="00ED2C81"/>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2DCE"/>
    <w:rsid w:val="00EE3196"/>
    <w:rsid w:val="00EE3203"/>
    <w:rsid w:val="00EE3318"/>
    <w:rsid w:val="00EE33A6"/>
    <w:rsid w:val="00EE3DCB"/>
    <w:rsid w:val="00EE44F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39C"/>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2C8"/>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B1"/>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3F7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A2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0B"/>
    <w:rsid w:val="00F54B39"/>
    <w:rsid w:val="00F553D1"/>
    <w:rsid w:val="00F558E3"/>
    <w:rsid w:val="00F55AC5"/>
    <w:rsid w:val="00F5625A"/>
    <w:rsid w:val="00F564B4"/>
    <w:rsid w:val="00F56D31"/>
    <w:rsid w:val="00F57183"/>
    <w:rsid w:val="00F57467"/>
    <w:rsid w:val="00F5765A"/>
    <w:rsid w:val="00F57C72"/>
    <w:rsid w:val="00F57E51"/>
    <w:rsid w:val="00F6021A"/>
    <w:rsid w:val="00F6021F"/>
    <w:rsid w:val="00F60845"/>
    <w:rsid w:val="00F60929"/>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097"/>
    <w:rsid w:val="00F65961"/>
    <w:rsid w:val="00F65E8A"/>
    <w:rsid w:val="00F65E91"/>
    <w:rsid w:val="00F660B8"/>
    <w:rsid w:val="00F6617D"/>
    <w:rsid w:val="00F66709"/>
    <w:rsid w:val="00F669E3"/>
    <w:rsid w:val="00F66AF7"/>
    <w:rsid w:val="00F672EB"/>
    <w:rsid w:val="00F6753C"/>
    <w:rsid w:val="00F67906"/>
    <w:rsid w:val="00F67A85"/>
    <w:rsid w:val="00F67B9C"/>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78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1D6"/>
    <w:rsid w:val="00F975B5"/>
    <w:rsid w:val="00F97666"/>
    <w:rsid w:val="00F977AE"/>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236"/>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2AEB"/>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39A"/>
    <w:rsid w:val="00FD2804"/>
    <w:rsid w:val="00FD282A"/>
    <w:rsid w:val="00FD2A71"/>
    <w:rsid w:val="00FD2BDC"/>
    <w:rsid w:val="00FD3124"/>
    <w:rsid w:val="00FD3905"/>
    <w:rsid w:val="00FD4CC0"/>
    <w:rsid w:val="00FD5999"/>
    <w:rsid w:val="00FD6318"/>
    <w:rsid w:val="00FD652B"/>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6EF2"/>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3A5"/>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92D93A6A-5AB4-4F37-A385-8BEEE3E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5Dark-Accent1">
    <w:name w:val="Grid Table 5 Dark Accent 1"/>
    <w:basedOn w:val="TableNormal"/>
    <w:uiPriority w:val="50"/>
    <w:rsid w:val="00D309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070D2C"/>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585472">
      <w:bodyDiv w:val="1"/>
      <w:marLeft w:val="0"/>
      <w:marRight w:val="0"/>
      <w:marTop w:val="0"/>
      <w:marBottom w:val="0"/>
      <w:divBdr>
        <w:top w:val="none" w:sz="0" w:space="0" w:color="auto"/>
        <w:left w:val="none" w:sz="0" w:space="0" w:color="auto"/>
        <w:bottom w:val="none" w:sz="0" w:space="0" w:color="auto"/>
        <w:right w:val="none" w:sz="0" w:space="0" w:color="auto"/>
      </w:divBdr>
    </w:div>
    <w:div w:id="5702247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281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34948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984230">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7332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157879">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8083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14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3995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5779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513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768752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HR33RHYHUWRF-4-5306</_dlc_DocId>
    <_dlc_DocIdUrl xmlns="c06861ca-3f08-4d07-bff7-bb15bac121f4">
      <Url>https://projects.qualcomm.com/sites/pentari/_layouts/15/DocIdRedir.aspx?ID=HR33RHYHUWRF-4-5306</Url>
      <Description>HR33RHYHUWRF-4-5306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E6745-A59F-4191-B9C0-CC0B7E42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809CA-B3B4-4DBB-BA79-4FDD7AAE08AF}">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C6B4537-2613-4B27-BDC5-795D14B26E91}">
  <ds:schemaRefs>
    <ds:schemaRef ds:uri="http://schemas.microsoft.com/sharepoint/v3/contenttype/forms"/>
  </ds:schemaRefs>
</ds:datastoreItem>
</file>

<file path=customXml/itemProps4.xml><?xml version="1.0" encoding="utf-8"?>
<ds:datastoreItem xmlns:ds="http://schemas.openxmlformats.org/officeDocument/2006/customXml" ds:itemID="{925B0008-0887-4F44-8D5B-4264A61B8FCE}">
  <ds:schemaRefs>
    <ds:schemaRef ds:uri="http://schemas.microsoft.com/sharepoint/events"/>
  </ds:schemaRefs>
</ds:datastoreItem>
</file>

<file path=customXml/itemProps5.xml><?xml version="1.0" encoding="utf-8"?>
<ds:datastoreItem xmlns:ds="http://schemas.openxmlformats.org/officeDocument/2006/customXml" ds:itemID="{559B1308-EBFD-4087-90BC-8454277F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Pages>
  <Words>1715</Words>
  <Characters>8836</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Yu Zhang</cp:lastModifiedBy>
  <cp:revision>16</cp:revision>
  <cp:lastPrinted>2014-11-07T05:38:00Z</cp:lastPrinted>
  <dcterms:created xsi:type="dcterms:W3CDTF">2017-06-17T04:00:00Z</dcterms:created>
  <dcterms:modified xsi:type="dcterms:W3CDTF">2017-08-12T05:32:00Z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1653073561</vt:i4>
  </property>
  <property fmtid="{D5CDD505-2E9C-101B-9397-08002B2CF9AE}" pid="3" name="_NewReviewCycle">
    <vt:lpwstr/>
  </property>
  <property fmtid="{D5CDD505-2E9C-101B-9397-08002B2CF9AE}" pid="4" name="_EmailSubject">
    <vt:lpwstr>Tdoc for TS2 ready for sub</vt:lpwstr>
  </property>
  <property fmtid="{D5CDD505-2E9C-101B-9397-08002B2CF9AE}" pid="5" name="_AuthorEmail">
    <vt:lpwstr>chenxih@qti.qualcomm.com</vt:lpwstr>
  </property>
  <property fmtid="{D5CDD505-2E9C-101B-9397-08002B2CF9AE}" pid="6" name="_AuthorEmailDisplayName">
    <vt:lpwstr>Chenxi Hao</vt:lpwstr>
  </property>
  <property fmtid="{D5CDD505-2E9C-101B-9397-08002B2CF9AE}" pid="7" name="_PreviousAdHocReviewCycleID">
    <vt:i4>-98562692</vt:i4>
  </property>
  <property fmtid="{D5CDD505-2E9C-101B-9397-08002B2CF9AE}" pid="8" name="_dlc_DocIdItemGuid">
    <vt:lpwstr>12d7ecce-2076-4bfa-85ff-b5882aa37cbd</vt:lpwstr>
  </property>
  <property fmtid="{D5CDD505-2E9C-101B-9397-08002B2CF9AE}" pid="9" name="ContentTypeId">
    <vt:lpwstr>0x010100BC29BFD66497B943AA3B102F0C7B1355</vt:lpwstr>
  </property>
</Properties>
</file>